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必备资料</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pPr>
        <w:adjustRightInd w:val="0"/>
        <w:snapToGrid w:val="0"/>
        <w:spacing w:before="100" w:beforeAutospacing="1" w:line="300" w:lineRule="auto"/>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 xml:space="preserve">    1.医用耗材</w:t>
      </w:r>
      <w:r>
        <w:rPr>
          <w:rFonts w:hint="eastAsia" w:ascii="仿宋_GB2312" w:hAnsi="黑体" w:eastAsia="仿宋_GB2312"/>
          <w:bCs/>
          <w:szCs w:val="22"/>
          <w:lang w:eastAsia="zh-CN"/>
        </w:rPr>
        <w:t>报</w:t>
      </w:r>
      <w:r>
        <w:rPr>
          <w:rFonts w:hint="eastAsia" w:ascii="仿宋_GB2312" w:hAnsi="黑体" w:eastAsia="仿宋_GB2312"/>
          <w:bCs/>
          <w:szCs w:val="22"/>
          <w:lang w:val="en-US" w:eastAsia="zh-CN"/>
        </w:rPr>
        <w:t>名</w:t>
      </w:r>
      <w:r>
        <w:rPr>
          <w:rFonts w:hint="eastAsia" w:ascii="仿宋_GB2312" w:hAnsi="黑体" w:eastAsia="仿宋_GB2312"/>
          <w:bCs/>
          <w:szCs w:val="22"/>
          <w:lang w:eastAsia="zh-CN"/>
        </w:rPr>
        <w:t>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3.情况说明及价格承诺书（详见附件2）（“公司最终价”不得高于重庆其他医院供货价）</w:t>
      </w:r>
      <w:r>
        <w:rPr>
          <w:rFonts w:hint="eastAsia" w:ascii="仿宋_GB2312" w:hAnsi="黑体" w:eastAsia="仿宋_GB2312"/>
          <w:bCs/>
          <w:color w:val="auto"/>
          <w:szCs w:val="22"/>
          <w:lang w:eastAsia="zh-CN"/>
        </w:rPr>
        <w:t>。</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bookmarkStart w:id="0" w:name="_GoBack"/>
      <w:bookmarkEnd w:id="0"/>
    </w:p>
    <w:p>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遴选项目编号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最小包装单位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参考依据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参考依据以提供的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9513A-C2A6-42B0-8D08-3C919E356F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791A4F1-E3CE-4714-8124-C5B21425443B}"/>
  </w:font>
  <w:font w:name="仿宋_GB2312">
    <w:panose1 w:val="02010609030101010101"/>
    <w:charset w:val="86"/>
    <w:family w:val="modern"/>
    <w:pitch w:val="default"/>
    <w:sig w:usb0="00000001" w:usb1="080E0000" w:usb2="00000000" w:usb3="00000000" w:csb0="00040000" w:csb1="00000000"/>
    <w:embedRegular r:id="rId3" w:fontKey="{FD7B419F-FAC1-4B5D-9C7C-3114BB1BF2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42B6A9A"/>
    <w:rsid w:val="16E97E49"/>
    <w:rsid w:val="176522C3"/>
    <w:rsid w:val="183F3310"/>
    <w:rsid w:val="189D5A8C"/>
    <w:rsid w:val="1B3D3E97"/>
    <w:rsid w:val="1EB62169"/>
    <w:rsid w:val="2000702C"/>
    <w:rsid w:val="22BA1CEF"/>
    <w:rsid w:val="24861ACA"/>
    <w:rsid w:val="2A3F0751"/>
    <w:rsid w:val="2A534BD5"/>
    <w:rsid w:val="2B91322F"/>
    <w:rsid w:val="2C080024"/>
    <w:rsid w:val="2C3167C0"/>
    <w:rsid w:val="2E4E0352"/>
    <w:rsid w:val="2E921798"/>
    <w:rsid w:val="2F640AB4"/>
    <w:rsid w:val="318F6A2C"/>
    <w:rsid w:val="32CB409A"/>
    <w:rsid w:val="354D6514"/>
    <w:rsid w:val="35B27D87"/>
    <w:rsid w:val="37DD580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B742B48"/>
    <w:rsid w:val="5E257683"/>
    <w:rsid w:val="5E46676C"/>
    <w:rsid w:val="5F414E63"/>
    <w:rsid w:val="61C21136"/>
    <w:rsid w:val="6679056C"/>
    <w:rsid w:val="667B0788"/>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4</Pages>
  <Words>1381</Words>
  <Characters>1409</Characters>
  <Lines>24</Lines>
  <Paragraphs>6</Paragraphs>
  <TotalTime>3</TotalTime>
  <ScaleCrop>false</ScaleCrop>
  <LinksUpToDate>false</LinksUpToDate>
  <CharactersWithSpaces>1770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2024-05-31T01:00:15Z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D70346D5A85340218708EC08A4F2CE51_13</vt:lpwstr>
  </property>
</Properties>
</file>