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2FCD5" w14:textId="77777777" w:rsidR="00C63C6D" w:rsidRDefault="00C63C6D" w:rsidP="00C63C6D">
      <w:pPr>
        <w:pageBreakBefore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附件1：</w:t>
      </w:r>
      <w:r w:rsidRPr="007021A1">
        <w:rPr>
          <w:rFonts w:ascii="楷体" w:eastAsia="楷体" w:hAnsi="楷体" w:hint="eastAsia"/>
          <w:sz w:val="32"/>
          <w:szCs w:val="32"/>
        </w:rPr>
        <w:t>商务要求、技术参数及质量要求：</w:t>
      </w:r>
    </w:p>
    <w:p w14:paraId="44CA5D22" w14:textId="77777777" w:rsidR="00C63C6D" w:rsidRPr="00EC1FBF" w:rsidRDefault="00C63C6D" w:rsidP="00C63C6D">
      <w:pPr>
        <w:spacing w:line="560" w:lineRule="exact"/>
        <w:jc w:val="left"/>
        <w:rPr>
          <w:rFonts w:ascii="仿宋" w:eastAsia="仿宋" w:hAnsi="仿宋" w:hint="eastAsia"/>
          <w:sz w:val="22"/>
        </w:rPr>
      </w:pPr>
      <w:r w:rsidRPr="00EC1FBF">
        <w:rPr>
          <w:rFonts w:ascii="仿宋" w:eastAsia="仿宋" w:hAnsi="仿宋" w:cs="仿宋" w:hint="eastAsia"/>
          <w:noProof/>
          <w:snapToGrid w:val="0"/>
          <w:color w:val="000000"/>
          <w:spacing w:val="-1"/>
          <w:kern w:val="0"/>
          <w:sz w:val="2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★为必须满足条款</w:t>
      </w:r>
      <w:r w:rsidRPr="00EC1FBF">
        <w:rPr>
          <w:rFonts w:ascii="仿宋" w:eastAsia="仿宋" w:hAnsi="仿宋" w:hint="eastAsia"/>
          <w:sz w:val="28"/>
          <w:szCs w:val="28"/>
        </w:rPr>
        <w:t>，</w:t>
      </w:r>
      <w:r w:rsidRPr="00EC1FBF">
        <w:rPr>
          <w:rFonts w:ascii="仿宋" w:eastAsia="仿宋" w:hAnsi="仿宋" w:hint="eastAsia"/>
          <w:sz w:val="22"/>
        </w:rPr>
        <w:t>▲为重要条款。</w:t>
      </w:r>
    </w:p>
    <w:p w14:paraId="2263AE74" w14:textId="77777777" w:rsidR="00C63C6D" w:rsidRDefault="00C63C6D" w:rsidP="00C63C6D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产品1：便携式超声诊断仪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C63C6D" w14:paraId="5113E916" w14:textId="77777777" w:rsidTr="0050729D">
        <w:tc>
          <w:tcPr>
            <w:tcW w:w="1799" w:type="dxa"/>
            <w:vAlign w:val="center"/>
          </w:tcPr>
          <w:p w14:paraId="65286E75" w14:textId="77777777" w:rsidR="00C63C6D" w:rsidRDefault="00C63C6D" w:rsidP="0050729D">
            <w:pPr>
              <w:pStyle w:val="TableText"/>
              <w:spacing w:before="195" w:line="480" w:lineRule="exact"/>
              <w:ind w:left="544" w:right="174" w:hanging="360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5B2261EF" w14:textId="77777777" w:rsidR="00C63C6D" w:rsidRDefault="00C63C6D" w:rsidP="0050729D">
            <w:pPr>
              <w:pStyle w:val="TableText"/>
              <w:spacing w:before="43" w:line="480" w:lineRule="exact"/>
              <w:ind w:left="127" w:right="153" w:hanging="14"/>
              <w:rPr>
                <w:rFonts w:hint="eastAsia"/>
                <w:sz w:val="24"/>
                <w:szCs w:val="24"/>
                <w:lang w:eastAsia="zh-CN"/>
              </w:rPr>
            </w:pPr>
            <w:r w:rsidRPr="00165E13">
              <w:rPr>
                <w:rFonts w:ascii="宋体" w:hAnsi="宋体"/>
                <w:lang w:eastAsia="zh-CN"/>
              </w:rPr>
              <w:t>彩色</w:t>
            </w:r>
            <w:r>
              <w:rPr>
                <w:rFonts w:ascii="宋体" w:hAnsi="宋体" w:hint="eastAsia"/>
                <w:lang w:eastAsia="zh-CN"/>
              </w:rPr>
              <w:t>超声</w:t>
            </w:r>
            <w:r w:rsidRPr="00165E13">
              <w:rPr>
                <w:rFonts w:ascii="宋体" w:hAnsi="宋体"/>
                <w:lang w:eastAsia="zh-CN"/>
              </w:rPr>
              <w:t>引导下的临床操作</w:t>
            </w:r>
            <w:r>
              <w:rPr>
                <w:rFonts w:ascii="宋体" w:hAnsi="宋体" w:hint="eastAsia"/>
                <w:lang w:eastAsia="zh-CN"/>
              </w:rPr>
              <w:t>。</w:t>
            </w:r>
          </w:p>
        </w:tc>
      </w:tr>
      <w:tr w:rsidR="00C63C6D" w14:paraId="205585C6" w14:textId="77777777" w:rsidTr="0050729D">
        <w:tc>
          <w:tcPr>
            <w:tcW w:w="1799" w:type="dxa"/>
            <w:vAlign w:val="center"/>
          </w:tcPr>
          <w:p w14:paraId="03E1D3FA" w14:textId="77777777" w:rsidR="00C63C6D" w:rsidRDefault="00C63C6D" w:rsidP="0050729D">
            <w:pPr>
              <w:pStyle w:val="TableText"/>
              <w:spacing w:before="36" w:line="480" w:lineRule="exact"/>
              <w:ind w:left="430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098DCF47" w14:textId="77777777" w:rsidR="00C63C6D" w:rsidRDefault="00C63C6D" w:rsidP="0050729D">
            <w:pPr>
              <w:pStyle w:val="TableText"/>
              <w:spacing w:before="36" w:line="480" w:lineRule="exact"/>
              <w:ind w:left="1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超声科</w:t>
            </w:r>
          </w:p>
        </w:tc>
      </w:tr>
      <w:tr w:rsidR="00C63C6D" w14:paraId="38DB0AC8" w14:textId="77777777" w:rsidTr="0050729D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BF9D280" w14:textId="77777777" w:rsidR="00C63C6D" w:rsidRDefault="00C63C6D" w:rsidP="0050729D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C9D" w14:textId="77777777" w:rsidR="00C63C6D" w:rsidRDefault="00C63C6D" w:rsidP="0050729D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  <w:proofErr w:type="spellEnd"/>
          </w:p>
        </w:tc>
      </w:tr>
      <w:tr w:rsidR="00C63C6D" w14:paraId="4D818FB7" w14:textId="77777777" w:rsidTr="0050729D">
        <w:tc>
          <w:tcPr>
            <w:tcW w:w="1799" w:type="dxa"/>
            <w:vAlign w:val="center"/>
          </w:tcPr>
          <w:p w14:paraId="463979E4" w14:textId="77777777" w:rsidR="00C63C6D" w:rsidRDefault="00C63C6D" w:rsidP="0050729D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2605F480" w14:textId="77777777" w:rsidR="00C63C6D" w:rsidRPr="00416E20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C63C6D" w14:paraId="5C2EE3EB" w14:textId="77777777" w:rsidTr="0050729D">
        <w:tc>
          <w:tcPr>
            <w:tcW w:w="1799" w:type="dxa"/>
            <w:vAlign w:val="center"/>
          </w:tcPr>
          <w:p w14:paraId="7E7348AD" w14:textId="77777777" w:rsidR="00C63C6D" w:rsidRDefault="00C63C6D" w:rsidP="0050729D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27B815F3" w14:textId="77777777" w:rsidR="00C63C6D" w:rsidRPr="00416E20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24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C63C6D" w14:paraId="510C21F1" w14:textId="77777777" w:rsidTr="0050729D">
        <w:tc>
          <w:tcPr>
            <w:tcW w:w="1799" w:type="dxa"/>
            <w:vAlign w:val="center"/>
          </w:tcPr>
          <w:p w14:paraId="0DEA83A5" w14:textId="77777777" w:rsidR="00C63C6D" w:rsidRDefault="00C63C6D" w:rsidP="0050729D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78C8F92D" w14:textId="77777777" w:rsidR="00C63C6D" w:rsidRPr="00416E20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63C6D" w14:paraId="05D9C5B5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597EF849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8830" w:type="dxa"/>
            <w:vAlign w:val="center"/>
          </w:tcPr>
          <w:p w14:paraId="7707EB46" w14:textId="77777777" w:rsidR="00C63C6D" w:rsidRDefault="00C63C6D" w:rsidP="0050729D">
            <w:pPr>
              <w:spacing w:before="154" w:line="480" w:lineRule="exact"/>
              <w:jc w:val="left"/>
              <w:rPr>
                <w:rFonts w:ascii="仿宋" w:eastAsia="仿宋" w:hAnsi="仿宋" w:cs="黑体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（参数性能以产品说明书为准）</w:t>
            </w:r>
          </w:p>
        </w:tc>
      </w:tr>
      <w:tr w:rsidR="00C63C6D" w14:paraId="1661A69C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0E826C2D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8830" w:type="dxa"/>
            <w:vAlign w:val="bottom"/>
          </w:tcPr>
          <w:p w14:paraId="3C7CAF66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全数字化便携式彩色多普勒超声诊断系统主机，配置</w:t>
            </w:r>
            <w:proofErr w:type="gramStart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凸</w:t>
            </w:r>
            <w:proofErr w:type="gramEnd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阵、线阵、相控阵探头；一键优化，支持二维、彩色及频谱模式</w:t>
            </w:r>
          </w:p>
        </w:tc>
      </w:tr>
      <w:tr w:rsidR="00C63C6D" w14:paraId="231FC7B6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3B417E3F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lang w:eastAsia="zh-CN"/>
              </w:rPr>
              <w:t>▲</w:t>
            </w:r>
            <w:r>
              <w:rPr>
                <w:rFonts w:hint="eastAsia"/>
                <w:lang w:eastAsia="zh-CN"/>
              </w:rPr>
              <w:t>1.2</w:t>
            </w:r>
          </w:p>
        </w:tc>
        <w:tc>
          <w:tcPr>
            <w:tcW w:w="8830" w:type="dxa"/>
          </w:tcPr>
          <w:p w14:paraId="5A950CFA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主机内置探头接口≥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，互用互通，大小一致，全激活</w:t>
            </w:r>
          </w:p>
        </w:tc>
      </w:tr>
      <w:tr w:rsidR="00C63C6D" w14:paraId="2697BC1A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153D5262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lang w:eastAsia="zh-CN"/>
              </w:rPr>
              <w:t>1.3</w:t>
            </w:r>
          </w:p>
        </w:tc>
        <w:tc>
          <w:tcPr>
            <w:tcW w:w="8830" w:type="dxa"/>
          </w:tcPr>
          <w:p w14:paraId="6C8E3518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预设条件：针对不同的检查脏器，预置最佳图像检查条件，并以脏器图形化直观显示</w:t>
            </w:r>
          </w:p>
        </w:tc>
      </w:tr>
      <w:tr w:rsidR="00C63C6D" w14:paraId="348A9666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2617F7F4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8830" w:type="dxa"/>
            <w:vAlign w:val="center"/>
          </w:tcPr>
          <w:p w14:paraId="00902290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二维灰阶</w:t>
            </w:r>
            <w:proofErr w:type="gramEnd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成像单元；二维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/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彩色双实时对比成像；谐波成像单元；彩色多普勒成像单元，频谱多普勒成像单元，组织多普勒成像单元</w:t>
            </w:r>
          </w:p>
        </w:tc>
      </w:tr>
      <w:tr w:rsidR="00C63C6D" w14:paraId="092FD1EA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43B8A7B7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91929">
              <w:rPr>
                <w:rFonts w:ascii="仿宋" w:eastAsia="仿宋" w:hAnsi="仿宋" w:cs="黑体" w:hint="eastAsia"/>
                <w:spacing w:val="-1"/>
                <w:sz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8830" w:type="dxa"/>
            <w:vAlign w:val="center"/>
          </w:tcPr>
          <w:p w14:paraId="1E06E299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M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型成像单元，彩色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M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型成像单元；可支持解剖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M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型成像单元：≥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条取样线；支持单条引导线和双线区间引导两种方式，可调节位置及角度；穿刺针增强技术</w:t>
            </w:r>
          </w:p>
        </w:tc>
      </w:tr>
      <w:tr w:rsidR="00C63C6D" w14:paraId="1D8828BD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0A94B8AE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3.1</w:t>
            </w:r>
          </w:p>
        </w:tc>
        <w:tc>
          <w:tcPr>
            <w:tcW w:w="8830" w:type="dxa"/>
            <w:vAlign w:val="center"/>
          </w:tcPr>
          <w:p w14:paraId="067DA74F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基本测量包，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2B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模式下支持双幅跨幅测量；定点测速功能，彩色多普勒模式下可同屏测量血管腔内≥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7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个任意位置的血流速度</w:t>
            </w:r>
          </w:p>
        </w:tc>
      </w:tr>
      <w:tr w:rsidR="00C63C6D" w14:paraId="1FFC6BD2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0B8FA67E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8830" w:type="dxa"/>
            <w:vAlign w:val="center"/>
          </w:tcPr>
          <w:p w14:paraId="20F2DC5C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血管测量软件包，支持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IMT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血管内中膜自动测量，具备前、后壁同屏独立测量显示；具备腹部、妇科、心脏、产科、泌尿、小器官、儿科、血管测量软件包</w:t>
            </w:r>
          </w:p>
        </w:tc>
      </w:tr>
      <w:tr w:rsidR="00C63C6D" w14:paraId="66413000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31C12C2F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4.1</w:t>
            </w:r>
          </w:p>
        </w:tc>
        <w:tc>
          <w:tcPr>
            <w:tcW w:w="8830" w:type="dxa"/>
            <w:vAlign w:val="center"/>
          </w:tcPr>
          <w:p w14:paraId="5AC8D932" w14:textId="77777777" w:rsidR="00C63C6D" w:rsidRPr="003C2125" w:rsidRDefault="00C63C6D" w:rsidP="0050729D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lang w:val="zh-CN" w:eastAsia="zh-CN" w:bidi="zh-CN"/>
              </w:rPr>
              <w:t>电影回放及原始数据处理：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500G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硬盘；支持手动、自动回放，支持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4D 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电影回放；多种图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lastRenderedPageBreak/>
              <w:t>像格式传输：支持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JPEG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WMV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BMP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AVI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TIFF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等格式输出</w:t>
            </w:r>
          </w:p>
        </w:tc>
      </w:tr>
      <w:tr w:rsidR="00C63C6D" w14:paraId="685B6CCE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6DDB4BDC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4.2</w:t>
            </w:r>
          </w:p>
        </w:tc>
        <w:tc>
          <w:tcPr>
            <w:tcW w:w="8830" w:type="dxa"/>
            <w:vAlign w:val="center"/>
          </w:tcPr>
          <w:p w14:paraId="10FA2B4A" w14:textId="77777777" w:rsidR="00C63C6D" w:rsidRPr="003C2125" w:rsidRDefault="00C63C6D" w:rsidP="0050729D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lang w:val="zh-CN" w:eastAsia="zh-CN" w:bidi="zh-CN"/>
              </w:rPr>
              <w:t>电影回放及原始数据处理：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支持不同探头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幅图像同屏动态回放，回放速度可调；同屏一体化智能剪切板：可实时同屏存储、回放动态及静态图像，可随时调阅、传输、删除图像</w:t>
            </w:r>
          </w:p>
        </w:tc>
      </w:tr>
      <w:tr w:rsidR="00C63C6D" w14:paraId="08D093BA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1669FA26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lang w:eastAsia="zh-CN"/>
              </w:rPr>
              <w:t>▲</w:t>
            </w:r>
            <w:r>
              <w:rPr>
                <w:rFonts w:hint="eastAsia"/>
                <w:lang w:eastAsia="zh-CN"/>
              </w:rPr>
              <w:t>5.1</w:t>
            </w:r>
          </w:p>
        </w:tc>
        <w:tc>
          <w:tcPr>
            <w:tcW w:w="8830" w:type="dxa"/>
          </w:tcPr>
          <w:p w14:paraId="7AAE3913" w14:textId="77777777" w:rsidR="00C63C6D" w:rsidRPr="003C2125" w:rsidRDefault="00C63C6D" w:rsidP="0050729D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inorEastAsia" w:hAnsiTheme="minorEastAsia" w:cs="华文中宋" w:hint="eastAsia"/>
                <w:lang w:eastAsia="zh-CN" w:bidi="zh-CN"/>
              </w:rPr>
              <w:t>二维灰阶</w:t>
            </w:r>
            <w:proofErr w:type="gramEnd"/>
            <w:r>
              <w:rPr>
                <w:rFonts w:asciiTheme="minorEastAsia" w:hAnsiTheme="minorEastAsia" w:cs="华文中宋" w:hint="eastAsia"/>
                <w:lang w:eastAsia="zh-CN" w:bidi="zh-CN"/>
              </w:rPr>
              <w:t>成像单元：</w:t>
            </w:r>
            <w:proofErr w:type="gramStart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发射声</w:t>
            </w:r>
            <w:proofErr w:type="gramEnd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束聚焦：发射≥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8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个焦点，焦点位置可调</w:t>
            </w:r>
          </w:p>
        </w:tc>
      </w:tr>
      <w:tr w:rsidR="00C63C6D" w14:paraId="296E6D1E" w14:textId="77777777" w:rsidTr="0050729D">
        <w:trPr>
          <w:trHeight w:val="1409"/>
        </w:trPr>
        <w:tc>
          <w:tcPr>
            <w:tcW w:w="1799" w:type="dxa"/>
            <w:vAlign w:val="center"/>
          </w:tcPr>
          <w:p w14:paraId="44C009EE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hint="eastAsia"/>
                <w:lang w:eastAsia="zh-CN"/>
              </w:rPr>
              <w:t>5.2</w:t>
            </w:r>
          </w:p>
        </w:tc>
        <w:tc>
          <w:tcPr>
            <w:tcW w:w="8830" w:type="dxa"/>
          </w:tcPr>
          <w:p w14:paraId="1649D49E" w14:textId="77777777" w:rsidR="00C63C6D" w:rsidRPr="003C2125" w:rsidRDefault="00C63C6D" w:rsidP="0050729D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inorEastAsia" w:hAnsiTheme="minorEastAsia" w:cs="华文中宋" w:hint="eastAsia"/>
                <w:lang w:eastAsia="zh-CN" w:bidi="zh-CN"/>
              </w:rPr>
              <w:t>二维灰阶</w:t>
            </w:r>
            <w:proofErr w:type="gramEnd"/>
            <w:r>
              <w:rPr>
                <w:rFonts w:asciiTheme="minorEastAsia" w:hAnsiTheme="minorEastAsia" w:cs="华文中宋" w:hint="eastAsia"/>
                <w:lang w:eastAsia="zh-CN" w:bidi="zh-CN"/>
              </w:rPr>
              <w:t>成像单元：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动态范围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: 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270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，非百分比显示，可视可调，增益调节≥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250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，非百分比显示，可视可调；最大显示深度：≥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400mm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，最大探测深度：≥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300mm 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TGC: 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8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段，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LGC: 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段；</w:t>
            </w:r>
            <w:proofErr w:type="gramStart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伪彩图谱</w:t>
            </w:r>
            <w:proofErr w:type="gramEnd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: 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12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种</w:t>
            </w:r>
          </w:p>
        </w:tc>
      </w:tr>
      <w:tr w:rsidR="00C63C6D" w14:paraId="738EAA47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0C5CE8D3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lang w:eastAsia="zh-CN"/>
              </w:rPr>
              <w:t>5.3</w:t>
            </w:r>
          </w:p>
        </w:tc>
        <w:tc>
          <w:tcPr>
            <w:tcW w:w="8830" w:type="dxa"/>
          </w:tcPr>
          <w:p w14:paraId="635CA0B8" w14:textId="77777777" w:rsidR="00C63C6D" w:rsidRPr="003C2125" w:rsidRDefault="00C63C6D" w:rsidP="0050729D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华文中宋" w:hint="eastAsia"/>
                <w:lang w:eastAsia="zh-CN" w:bidi="zh-CN"/>
              </w:rPr>
              <w:t>彩色多普勒成像单元：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增益调节≥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200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；智能血流追踪技术，单键操作，取样框自动识别并追踪血管位置及血流方向，同时自动偏转；</w:t>
            </w:r>
          </w:p>
        </w:tc>
      </w:tr>
      <w:tr w:rsidR="00C63C6D" w14:paraId="34DE52FC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4327542A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lang w:eastAsia="zh-CN"/>
              </w:rPr>
              <w:t>5.4</w:t>
            </w:r>
          </w:p>
        </w:tc>
        <w:tc>
          <w:tcPr>
            <w:tcW w:w="8830" w:type="dxa"/>
          </w:tcPr>
          <w:p w14:paraId="56D49829" w14:textId="77777777" w:rsidR="00C63C6D" w:rsidRPr="003C2125" w:rsidRDefault="00C63C6D" w:rsidP="0050729D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华文中宋" w:hint="eastAsia"/>
                <w:lang w:eastAsia="zh-CN" w:bidi="zh-CN"/>
              </w:rPr>
              <w:t>频谱多普勒成像单元：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包括脉冲多普勒、高脉冲重复频率、连续多普勒，支持频谱自动测量；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PW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实时自动跟踪测速</w:t>
            </w:r>
          </w:p>
        </w:tc>
      </w:tr>
      <w:tr w:rsidR="00C63C6D" w14:paraId="419D49B7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50224B36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8830" w:type="dxa"/>
          </w:tcPr>
          <w:p w14:paraId="4EAC4343" w14:textId="77777777" w:rsidR="00C63C6D" w:rsidRPr="003C2125" w:rsidRDefault="00C63C6D" w:rsidP="0050729D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华文中宋" w:hint="eastAsia"/>
                <w:lang w:eastAsia="zh-CN" w:bidi="zh-CN"/>
              </w:rPr>
              <w:t>频谱多普勒成像单元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显示方式：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B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PW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B/PW, B/C/PW, B/CW, B/C/CW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等；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 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取样容积：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1-20mm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；零位移动：≥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8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级；快速角度校正</w:t>
            </w:r>
          </w:p>
        </w:tc>
      </w:tr>
      <w:tr w:rsidR="00C63C6D" w14:paraId="633A1AD5" w14:textId="77777777" w:rsidTr="0050729D">
        <w:trPr>
          <w:trHeight w:val="382"/>
        </w:trPr>
        <w:tc>
          <w:tcPr>
            <w:tcW w:w="1799" w:type="dxa"/>
            <w:vAlign w:val="center"/>
          </w:tcPr>
          <w:p w14:paraId="4A21CC4B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6</w:t>
            </w:r>
          </w:p>
        </w:tc>
        <w:tc>
          <w:tcPr>
            <w:tcW w:w="8830" w:type="dxa"/>
            <w:vAlign w:val="center"/>
          </w:tcPr>
          <w:p w14:paraId="0DA738C8" w14:textId="77777777" w:rsidR="00C63C6D" w:rsidRPr="003C2125" w:rsidRDefault="00C63C6D" w:rsidP="0050729D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支持探头类型：</w:t>
            </w:r>
            <w:proofErr w:type="gramStart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凸</w:t>
            </w:r>
            <w:proofErr w:type="gramEnd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阵、线阵、相控阵、腔内、容积、线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/</w:t>
            </w:r>
            <w:proofErr w:type="gramStart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凸</w:t>
            </w:r>
            <w:proofErr w:type="gramEnd"/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双平面探头等探头，探头频率：宽频变频探头，二维、谐波、彩色及频谱多普勒模式分别独立变频≥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3C212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段</w:t>
            </w:r>
          </w:p>
        </w:tc>
      </w:tr>
      <w:tr w:rsidR="00C63C6D" w14:paraId="00E2CDB5" w14:textId="77777777" w:rsidTr="0050729D">
        <w:tc>
          <w:tcPr>
            <w:tcW w:w="1799" w:type="dxa"/>
            <w:vAlign w:val="center"/>
          </w:tcPr>
          <w:p w14:paraId="472456D6" w14:textId="77777777" w:rsidR="00C63C6D" w:rsidRDefault="00C63C6D" w:rsidP="0050729D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58243A70" w14:textId="77777777" w:rsidR="00C63C6D" w:rsidRPr="00BC4C7C" w:rsidRDefault="00C63C6D" w:rsidP="0050729D">
            <w:pPr>
              <w:spacing w:line="560" w:lineRule="exact"/>
              <w:ind w:firstLineChars="200" w:firstLine="400"/>
              <w:jc w:val="left"/>
              <w:rPr>
                <w:rFonts w:ascii="仿宋_GB2312" w:eastAsia="仿宋_GB2312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、超声诊断仪主机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、台车（探头已激活）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、线阵探头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根；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proofErr w:type="gramStart"/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凸</w:t>
            </w:r>
            <w:proofErr w:type="gramEnd"/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阵探头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根；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、相控阵探头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根。</w:t>
            </w:r>
          </w:p>
        </w:tc>
      </w:tr>
    </w:tbl>
    <w:p w14:paraId="17FA4544" w14:textId="77777777" w:rsidR="00C63C6D" w:rsidRDefault="00C63C6D" w:rsidP="00C63C6D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773FF122" w14:textId="77777777" w:rsidR="00C63C6D" w:rsidRDefault="00C63C6D" w:rsidP="00C63C6D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  <w:sectPr w:rsidR="00C63C6D" w:rsidSect="00C63C6D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B1289DE" w14:textId="77777777" w:rsidR="00C63C6D" w:rsidRDefault="00C63C6D" w:rsidP="00C63C6D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F148F4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F148F4">
        <w:rPr>
          <w:rFonts w:ascii="仿宋" w:eastAsia="仿宋" w:hAnsi="仿宋"/>
          <w:sz w:val="32"/>
          <w:szCs w:val="32"/>
        </w:rPr>
        <w:t>：设备报价表</w:t>
      </w:r>
    </w:p>
    <w:p w14:paraId="413FEA15" w14:textId="77777777" w:rsidR="00C63C6D" w:rsidRDefault="00C63C6D" w:rsidP="00C63C6D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031"/>
        <w:gridCol w:w="1376"/>
        <w:gridCol w:w="1105"/>
        <w:gridCol w:w="1253"/>
        <w:gridCol w:w="1043"/>
        <w:gridCol w:w="1782"/>
        <w:gridCol w:w="1979"/>
        <w:gridCol w:w="1843"/>
        <w:gridCol w:w="1988"/>
        <w:gridCol w:w="1988"/>
      </w:tblGrid>
      <w:tr w:rsidR="00C63C6D" w14:paraId="2576FB04" w14:textId="77777777" w:rsidTr="0050729D">
        <w:trPr>
          <w:trHeight w:val="983"/>
          <w:jc w:val="center"/>
        </w:trPr>
        <w:tc>
          <w:tcPr>
            <w:tcW w:w="335" w:type="pct"/>
            <w:vAlign w:val="center"/>
          </w:tcPr>
          <w:p w14:paraId="4C03F8C7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47" w:type="pct"/>
            <w:vAlign w:val="center"/>
          </w:tcPr>
          <w:p w14:paraId="4F6BB944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  <w:proofErr w:type="spellEnd"/>
          </w:p>
        </w:tc>
        <w:tc>
          <w:tcPr>
            <w:tcW w:w="359" w:type="pct"/>
            <w:vAlign w:val="center"/>
          </w:tcPr>
          <w:p w14:paraId="72AF50C6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设备生产厂家</w:t>
            </w:r>
            <w:proofErr w:type="spellEnd"/>
          </w:p>
        </w:tc>
        <w:tc>
          <w:tcPr>
            <w:tcW w:w="407" w:type="pct"/>
            <w:vAlign w:val="center"/>
          </w:tcPr>
          <w:p w14:paraId="4ABAAB6C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  <w:proofErr w:type="spellEnd"/>
          </w:p>
        </w:tc>
        <w:tc>
          <w:tcPr>
            <w:tcW w:w="339" w:type="pct"/>
            <w:vAlign w:val="center"/>
          </w:tcPr>
          <w:p w14:paraId="764F32DC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设备型号</w:t>
            </w:r>
            <w:proofErr w:type="spellEnd"/>
          </w:p>
        </w:tc>
        <w:tc>
          <w:tcPr>
            <w:tcW w:w="579" w:type="pct"/>
            <w:vAlign w:val="center"/>
          </w:tcPr>
          <w:p w14:paraId="575F1FF3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设备注册、备案证号</w:t>
            </w:r>
            <w:proofErr w:type="spellEnd"/>
          </w:p>
        </w:tc>
        <w:tc>
          <w:tcPr>
            <w:tcW w:w="643" w:type="pct"/>
            <w:vAlign w:val="center"/>
          </w:tcPr>
          <w:p w14:paraId="77599B32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设备报价</w:t>
            </w:r>
            <w:proofErr w:type="spellEnd"/>
          </w:p>
        </w:tc>
        <w:tc>
          <w:tcPr>
            <w:tcW w:w="599" w:type="pct"/>
            <w:vAlign w:val="center"/>
          </w:tcPr>
          <w:p w14:paraId="43A3B8E9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质保年限</w:t>
            </w:r>
            <w:proofErr w:type="spellEnd"/>
          </w:p>
        </w:tc>
        <w:tc>
          <w:tcPr>
            <w:tcW w:w="646" w:type="pct"/>
          </w:tcPr>
          <w:p w14:paraId="7AF9A446" w14:textId="77777777" w:rsidR="00C63C6D" w:rsidRPr="002F0D48" w:rsidRDefault="00C63C6D" w:rsidP="0050729D">
            <w:pPr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设备使用年限（根据产品说明书或产品铭牌，必须提供佐证资料）</w:t>
            </w:r>
          </w:p>
        </w:tc>
        <w:tc>
          <w:tcPr>
            <w:tcW w:w="646" w:type="pct"/>
            <w:vAlign w:val="center"/>
          </w:tcPr>
          <w:p w14:paraId="56200545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质保期后全保价格</w:t>
            </w:r>
            <w:proofErr w:type="spellEnd"/>
          </w:p>
        </w:tc>
      </w:tr>
      <w:tr w:rsidR="00C63C6D" w14:paraId="326398B2" w14:textId="77777777" w:rsidTr="0050729D">
        <w:trPr>
          <w:trHeight w:val="723"/>
          <w:jc w:val="center"/>
        </w:trPr>
        <w:tc>
          <w:tcPr>
            <w:tcW w:w="335" w:type="pct"/>
            <w:vAlign w:val="center"/>
          </w:tcPr>
          <w:p w14:paraId="60887ED9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6F774616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4DC8B27A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2773CF29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20DF0D65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2811A9B2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8A7C883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67C421EE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6A568738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 w14:paraId="148E4E6E" w14:textId="77777777" w:rsidR="00C63C6D" w:rsidRPr="002F0D48" w:rsidRDefault="00C63C6D" w:rsidP="0050729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1E5AA20" w14:textId="77777777" w:rsidR="00C63C6D" w:rsidRPr="00EE2125" w:rsidRDefault="00C63C6D" w:rsidP="00C63C6D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C63C6D" w:rsidRPr="00EE2125" w:rsidSect="00C63C6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2BC4FB6" w14:textId="77777777" w:rsidR="00C63C6D" w:rsidRDefault="00C63C6D" w:rsidP="00C63C6D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220DBB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220DBB">
        <w:rPr>
          <w:rFonts w:ascii="仿宋" w:eastAsia="仿宋" w:hAnsi="仿宋"/>
          <w:sz w:val="32"/>
          <w:szCs w:val="32"/>
        </w:rPr>
        <w:t>：业绩表单</w:t>
      </w:r>
    </w:p>
    <w:tbl>
      <w:tblPr>
        <w:tblStyle w:val="a7"/>
        <w:tblpPr w:leftFromText="180" w:rightFromText="180" w:vertAnchor="text" w:tblpXSpec="center" w:tblpY="1"/>
        <w:tblOverlap w:val="never"/>
        <w:tblW w:w="15081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571"/>
        <w:gridCol w:w="2828"/>
        <w:gridCol w:w="2828"/>
        <w:gridCol w:w="2828"/>
        <w:gridCol w:w="2198"/>
        <w:gridCol w:w="2828"/>
      </w:tblGrid>
      <w:tr w:rsidR="00C63C6D" w:rsidRPr="007A5A16" w14:paraId="1F69428C" w14:textId="77777777" w:rsidTr="0050729D">
        <w:trPr>
          <w:trHeight w:val="667"/>
        </w:trPr>
        <w:tc>
          <w:tcPr>
            <w:tcW w:w="0" w:type="auto"/>
            <w:vAlign w:val="center"/>
          </w:tcPr>
          <w:p w14:paraId="1D4ADAE7" w14:textId="77777777" w:rsidR="00C63C6D" w:rsidRPr="007A5A16" w:rsidRDefault="00C63C6D" w:rsidP="0050729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BBC84F7" w14:textId="77777777" w:rsidR="00C63C6D" w:rsidRPr="007A5A16" w:rsidRDefault="00C63C6D" w:rsidP="0050729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6A45E8A5" w14:textId="77777777" w:rsidR="00C63C6D" w:rsidRPr="007A5A16" w:rsidRDefault="00C63C6D" w:rsidP="0050729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安装时间</w:t>
            </w:r>
          </w:p>
        </w:tc>
        <w:tc>
          <w:tcPr>
            <w:tcW w:w="0" w:type="auto"/>
            <w:vAlign w:val="center"/>
          </w:tcPr>
          <w:p w14:paraId="16FAF7E2" w14:textId="77777777" w:rsidR="00C63C6D" w:rsidRPr="007A5A16" w:rsidRDefault="00C63C6D" w:rsidP="0050729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安装医院</w:t>
            </w:r>
          </w:p>
        </w:tc>
        <w:tc>
          <w:tcPr>
            <w:tcW w:w="0" w:type="auto"/>
            <w:vAlign w:val="center"/>
          </w:tcPr>
          <w:p w14:paraId="350448D5" w14:textId="77777777" w:rsidR="00C63C6D" w:rsidRPr="007A5A16" w:rsidRDefault="00C63C6D" w:rsidP="0050729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0" w:type="auto"/>
            <w:vAlign w:val="center"/>
          </w:tcPr>
          <w:p w14:paraId="006AE1E8" w14:textId="77777777" w:rsidR="00C63C6D" w:rsidRPr="007A5A16" w:rsidRDefault="00C63C6D" w:rsidP="0050729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联系电话</w:t>
            </w:r>
          </w:p>
        </w:tc>
      </w:tr>
      <w:tr w:rsidR="00C63C6D" w:rsidRPr="007A5A16" w14:paraId="346EC750" w14:textId="77777777" w:rsidTr="0050729D">
        <w:trPr>
          <w:trHeight w:val="592"/>
        </w:trPr>
        <w:tc>
          <w:tcPr>
            <w:tcW w:w="0" w:type="auto"/>
            <w:vAlign w:val="center"/>
          </w:tcPr>
          <w:p w14:paraId="242AB05B" w14:textId="77777777" w:rsidR="00C63C6D" w:rsidRPr="007A5A16" w:rsidRDefault="00C63C6D" w:rsidP="0050729D">
            <w:pPr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4BC5A95" w14:textId="77777777" w:rsidR="00C63C6D" w:rsidRPr="007A5A16" w:rsidRDefault="00C63C6D" w:rsidP="0050729D"/>
        </w:tc>
        <w:tc>
          <w:tcPr>
            <w:tcW w:w="0" w:type="auto"/>
            <w:vAlign w:val="center"/>
          </w:tcPr>
          <w:p w14:paraId="18EBB4D9" w14:textId="77777777" w:rsidR="00C63C6D" w:rsidRPr="007A5A16" w:rsidRDefault="00C63C6D" w:rsidP="0050729D"/>
        </w:tc>
        <w:tc>
          <w:tcPr>
            <w:tcW w:w="0" w:type="auto"/>
            <w:vAlign w:val="center"/>
          </w:tcPr>
          <w:p w14:paraId="2585B932" w14:textId="77777777" w:rsidR="00C63C6D" w:rsidRPr="007A5A16" w:rsidRDefault="00C63C6D" w:rsidP="0050729D"/>
        </w:tc>
        <w:tc>
          <w:tcPr>
            <w:tcW w:w="0" w:type="auto"/>
            <w:vAlign w:val="center"/>
          </w:tcPr>
          <w:p w14:paraId="161E7285" w14:textId="77777777" w:rsidR="00C63C6D" w:rsidRPr="007A5A16" w:rsidRDefault="00C63C6D" w:rsidP="0050729D"/>
        </w:tc>
        <w:tc>
          <w:tcPr>
            <w:tcW w:w="0" w:type="auto"/>
            <w:vAlign w:val="center"/>
          </w:tcPr>
          <w:p w14:paraId="291C0EC1" w14:textId="77777777" w:rsidR="00C63C6D" w:rsidRPr="007A5A16" w:rsidRDefault="00C63C6D" w:rsidP="0050729D"/>
        </w:tc>
      </w:tr>
      <w:tr w:rsidR="00C63C6D" w:rsidRPr="007A5A16" w14:paraId="0B876E94" w14:textId="77777777" w:rsidTr="0050729D">
        <w:trPr>
          <w:trHeight w:val="652"/>
        </w:trPr>
        <w:tc>
          <w:tcPr>
            <w:tcW w:w="0" w:type="auto"/>
            <w:gridSpan w:val="6"/>
            <w:vAlign w:val="center"/>
          </w:tcPr>
          <w:p w14:paraId="18E104F2" w14:textId="77777777" w:rsidR="00C63C6D" w:rsidRPr="007A5A16" w:rsidRDefault="00C63C6D" w:rsidP="0050729D">
            <w:pPr>
              <w:rPr>
                <w:lang w:eastAsia="zh-CN"/>
              </w:rPr>
            </w:pP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备注：最多可填报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10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家，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重庆主城教学三甲医院优先，其他医院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建议按复旦医院综合排名榜或公立医院绩效考核排名顺序填写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。</w:t>
            </w:r>
          </w:p>
        </w:tc>
      </w:tr>
    </w:tbl>
    <w:p w14:paraId="65A9D780" w14:textId="77777777" w:rsidR="00C63C6D" w:rsidRDefault="00C63C6D" w:rsidP="00C63C6D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C63C6D" w:rsidSect="00C63C6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FBD46BE" w14:textId="77777777" w:rsidR="00C63C6D" w:rsidRPr="00F938BF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4</w:t>
      </w:r>
      <w:r w:rsidRPr="00F938BF">
        <w:rPr>
          <w:rFonts w:ascii="仿宋" w:eastAsia="仿宋" w:hAnsi="仿宋"/>
          <w:sz w:val="32"/>
          <w:szCs w:val="32"/>
        </w:rPr>
        <w:t>：</w:t>
      </w:r>
    </w:p>
    <w:p w14:paraId="5B4FC522" w14:textId="77777777" w:rsidR="00C63C6D" w:rsidRPr="00F938BF" w:rsidRDefault="00C63C6D" w:rsidP="00C63C6D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  <w:r w:rsidRPr="00F938BF">
        <w:rPr>
          <w:rFonts w:ascii="方正小标宋简体" w:eastAsia="方正小标宋简体" w:hAnsi="方正小标宋简体" w:hint="eastAsia"/>
          <w:sz w:val="40"/>
          <w:szCs w:val="40"/>
        </w:rPr>
        <w:t>法定代表人授权书</w:t>
      </w:r>
    </w:p>
    <w:p w14:paraId="1E4A8896" w14:textId="77777777" w:rsidR="00C63C6D" w:rsidRPr="00F938BF" w:rsidRDefault="00C63C6D" w:rsidP="00C63C6D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938BF">
        <w:rPr>
          <w:rFonts w:ascii="仿宋" w:eastAsia="仿宋" w:hAnsi="仿宋" w:hint="eastAsia"/>
          <w:sz w:val="28"/>
          <w:szCs w:val="28"/>
        </w:rPr>
        <w:t>（授权人</w:t>
      </w:r>
      <w:r>
        <w:rPr>
          <w:rFonts w:ascii="仿宋" w:eastAsia="仿宋" w:hAnsi="仿宋" w:hint="eastAsia"/>
          <w:sz w:val="28"/>
          <w:szCs w:val="28"/>
        </w:rPr>
        <w:t>公开比选</w:t>
      </w:r>
      <w:r w:rsidRPr="00F938BF">
        <w:rPr>
          <w:rFonts w:ascii="仿宋" w:eastAsia="仿宋" w:hAnsi="仿宋" w:hint="eastAsia"/>
          <w:sz w:val="28"/>
          <w:szCs w:val="28"/>
        </w:rPr>
        <w:t>时同时提供法定代表人资格证明书</w:t>
      </w:r>
      <w:r w:rsidRPr="00F938BF">
        <w:rPr>
          <w:rFonts w:ascii="仿宋" w:eastAsia="仿宋" w:hAnsi="仿宋"/>
          <w:sz w:val="28"/>
          <w:szCs w:val="28"/>
        </w:rPr>
        <w:t>）</w:t>
      </w:r>
    </w:p>
    <w:p w14:paraId="2C66B72A" w14:textId="77777777" w:rsidR="00C63C6D" w:rsidRPr="00F938BF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（采购人）：</w:t>
      </w:r>
    </w:p>
    <w:p w14:paraId="7B8D8379" w14:textId="77777777" w:rsidR="00C63C6D" w:rsidRPr="00F938BF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  <w:u w:val="single"/>
        </w:rPr>
        <w:t>参与人</w:t>
      </w:r>
      <w:r w:rsidRPr="00F938BF">
        <w:rPr>
          <w:rFonts w:ascii="仿宋" w:eastAsia="仿宋" w:hAnsi="仿宋"/>
          <w:sz w:val="32"/>
          <w:szCs w:val="32"/>
          <w:u w:val="single"/>
        </w:rPr>
        <w:t>全称）</w:t>
      </w:r>
      <w:r w:rsidRPr="00F938BF">
        <w:rPr>
          <w:rFonts w:ascii="仿宋" w:eastAsia="仿宋" w:hAnsi="仿宋"/>
          <w:sz w:val="32"/>
          <w:szCs w:val="32"/>
        </w:rPr>
        <w:t>法定代表人</w:t>
      </w:r>
      <w:r w:rsidRPr="00F938BF">
        <w:rPr>
          <w:rFonts w:ascii="仿宋" w:eastAsia="仿宋" w:hAnsi="仿宋"/>
          <w:sz w:val="32"/>
          <w:szCs w:val="32"/>
          <w:u w:val="single"/>
        </w:rPr>
        <w:t>（姓名、职务）</w:t>
      </w:r>
      <w:r w:rsidRPr="00F938BF">
        <w:rPr>
          <w:rFonts w:ascii="仿宋" w:eastAsia="仿宋" w:hAnsi="仿宋"/>
          <w:sz w:val="32"/>
          <w:szCs w:val="32"/>
        </w:rPr>
        <w:t>授权</w:t>
      </w:r>
      <w:r w:rsidRPr="00F938BF">
        <w:rPr>
          <w:rFonts w:ascii="仿宋" w:eastAsia="仿宋" w:hAnsi="仿宋"/>
          <w:sz w:val="32"/>
          <w:szCs w:val="32"/>
          <w:u w:val="single"/>
        </w:rPr>
        <w:t>（授权代表姓名、职务）</w:t>
      </w:r>
      <w:r w:rsidRPr="00F938BF">
        <w:rPr>
          <w:rFonts w:ascii="仿宋" w:eastAsia="仿宋" w:hAnsi="仿宋"/>
          <w:sz w:val="32"/>
          <w:szCs w:val="32"/>
        </w:rPr>
        <w:t>为全权代表，参加贵单位组织的</w:t>
      </w:r>
      <w:r w:rsidRPr="00F938BF">
        <w:rPr>
          <w:rFonts w:ascii="仿宋" w:eastAsia="仿宋" w:hAnsi="仿宋"/>
          <w:sz w:val="32"/>
          <w:szCs w:val="32"/>
          <w:u w:val="single"/>
        </w:rPr>
        <w:t>（项目名称）</w:t>
      </w:r>
      <w:r w:rsidRPr="00F938BF">
        <w:rPr>
          <w:rFonts w:ascii="仿宋" w:eastAsia="仿宋" w:hAnsi="仿宋" w:hint="eastAsia"/>
          <w:sz w:val="32"/>
          <w:szCs w:val="32"/>
        </w:rPr>
        <w:t>采购活动，全权处理采购活动中的一切事宜。</w:t>
      </w:r>
    </w:p>
    <w:p w14:paraId="7EF9A227" w14:textId="77777777" w:rsidR="00C63C6D" w:rsidRPr="00F938BF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Pr="00F938BF">
        <w:rPr>
          <w:rFonts w:ascii="仿宋" w:eastAsia="仿宋" w:hAnsi="仿宋" w:hint="eastAsia"/>
          <w:sz w:val="32"/>
          <w:szCs w:val="32"/>
        </w:rPr>
        <w:t>全称：（盖章）</w:t>
      </w:r>
    </w:p>
    <w:p w14:paraId="49CEB345" w14:textId="77777777" w:rsidR="00C63C6D" w:rsidRPr="00F938BF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9C036B6" w14:textId="77777777" w:rsidR="00C63C6D" w:rsidRPr="00F938BF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DFF9305" w14:textId="77777777" w:rsidR="00C63C6D" w:rsidRPr="00F938BF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法定代表人：（签字或盖签名章）</w:t>
      </w:r>
    </w:p>
    <w:p w14:paraId="50B81BC7" w14:textId="77777777" w:rsidR="00C63C6D" w:rsidRPr="00F938BF" w:rsidRDefault="00C63C6D" w:rsidP="00C63C6D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</w:t>
      </w:r>
      <w:r w:rsidRPr="00F938BF">
        <w:rPr>
          <w:rFonts w:ascii="仿宋" w:eastAsia="仿宋" w:hAnsi="仿宋"/>
          <w:sz w:val="32"/>
          <w:szCs w:val="32"/>
        </w:rPr>
        <w:t>年  月   日</w:t>
      </w:r>
    </w:p>
    <w:p w14:paraId="420E8FF6" w14:textId="77777777" w:rsidR="00C63C6D" w:rsidRPr="00F938BF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附：</w:t>
      </w:r>
    </w:p>
    <w:p w14:paraId="43B5B512" w14:textId="77777777" w:rsidR="00C63C6D" w:rsidRPr="00F938BF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授权代表姓名：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F938BF">
        <w:rPr>
          <w:rFonts w:ascii="仿宋" w:eastAsia="仿宋" w:hAnsi="仿宋" w:hint="eastAsia"/>
          <w:sz w:val="32"/>
          <w:szCs w:val="32"/>
        </w:rPr>
        <w:t>职务：</w:t>
      </w:r>
    </w:p>
    <w:p w14:paraId="2CF0522D" w14:textId="77777777" w:rsidR="00C63C6D" w:rsidRPr="00DD2930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移动电话：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</w:t>
      </w:r>
      <w:r w:rsidRPr="00F938BF">
        <w:rPr>
          <w:rFonts w:ascii="仿宋" w:eastAsia="仿宋" w:hAnsi="仿宋" w:hint="eastAsia"/>
          <w:sz w:val="32"/>
          <w:szCs w:val="32"/>
        </w:rPr>
        <w:t>传真：</w:t>
      </w:r>
    </w:p>
    <w:p w14:paraId="1A8D4BA3" w14:textId="77777777" w:rsidR="00C63C6D" w:rsidRPr="00F938BF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邮编：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  <w:r w:rsidRPr="00F938BF">
        <w:rPr>
          <w:rFonts w:ascii="仿宋" w:eastAsia="仿宋" w:hAnsi="仿宋" w:hint="eastAsia"/>
          <w:sz w:val="32"/>
          <w:szCs w:val="32"/>
        </w:rPr>
        <w:t>通讯地址：</w:t>
      </w:r>
    </w:p>
    <w:p w14:paraId="399B640A" w14:textId="77777777" w:rsidR="00C63C6D" w:rsidRPr="00F938BF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9C525" wp14:editId="5ACD29C1">
                <wp:simplePos x="0" y="0"/>
                <wp:positionH relativeFrom="margin">
                  <wp:posOffset>2837180</wp:posOffset>
                </wp:positionH>
                <wp:positionV relativeFrom="paragraph">
                  <wp:posOffset>236964</wp:posOffset>
                </wp:positionV>
                <wp:extent cx="2475186" cy="1276985"/>
                <wp:effectExtent l="0" t="0" r="20955" b="18415"/>
                <wp:wrapNone/>
                <wp:docPr id="10082481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8347D" w14:textId="77777777" w:rsidR="00C63C6D" w:rsidRPr="00F938BF" w:rsidRDefault="00C63C6D" w:rsidP="00C63C6D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4B824998" w14:textId="77777777" w:rsidR="00C63C6D" w:rsidRPr="00F938BF" w:rsidRDefault="00C63C6D" w:rsidP="00C63C6D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9C525" id="矩形 2" o:spid="_x0000_s1026" style="position:absolute;left:0;text-align:left;margin-left:223.4pt;margin-top:18.65pt;width:194.9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" fillcolor="white [3201]" strokecolor="black [3213]" strokeweight="1pt">
                <v:textbox>
                  <w:txbxContent>
                    <w:p w14:paraId="1178347D" w14:textId="77777777" w:rsidR="00C63C6D" w:rsidRPr="00F938BF" w:rsidRDefault="00C63C6D" w:rsidP="00C63C6D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4B824998" w14:textId="77777777" w:rsidR="00C63C6D" w:rsidRPr="00F938BF" w:rsidRDefault="00C63C6D" w:rsidP="00C63C6D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反</w:t>
                      </w: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7C122" wp14:editId="0948FE09">
                <wp:simplePos x="0" y="0"/>
                <wp:positionH relativeFrom="margin">
                  <wp:posOffset>92601</wp:posOffset>
                </wp:positionH>
                <wp:positionV relativeFrom="paragraph">
                  <wp:posOffset>229870</wp:posOffset>
                </wp:positionV>
                <wp:extent cx="2475186" cy="1276985"/>
                <wp:effectExtent l="0" t="0" r="20955" b="18415"/>
                <wp:wrapNone/>
                <wp:docPr id="176401098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AEDAA" w14:textId="77777777" w:rsidR="00C63C6D" w:rsidRPr="00F938BF" w:rsidRDefault="00C63C6D" w:rsidP="00C63C6D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7C9C58E3" w14:textId="77777777" w:rsidR="00C63C6D" w:rsidRPr="00F938BF" w:rsidRDefault="00C63C6D" w:rsidP="00C63C6D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7C122" id="_x0000_s1027" style="position:absolute;left:0;text-align:left;margin-left:7.3pt;margin-top:18.1pt;width:194.9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" fillcolor="white [3201]" strokecolor="black [3213]" strokeweight="1pt">
                <v:textbox>
                  <w:txbxContent>
                    <w:p w14:paraId="329AEDAA" w14:textId="77777777" w:rsidR="00C63C6D" w:rsidRPr="00F938BF" w:rsidRDefault="00C63C6D" w:rsidP="00C63C6D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7C9C58E3" w14:textId="77777777" w:rsidR="00C63C6D" w:rsidRPr="00F938BF" w:rsidRDefault="00C63C6D" w:rsidP="00C63C6D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599379" w14:textId="77777777" w:rsidR="00C63C6D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C7B5982" w14:textId="77777777" w:rsidR="00C63C6D" w:rsidRPr="00F938BF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3258DD1" w14:textId="77777777" w:rsidR="00C63C6D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2BE709B" w14:textId="77777777" w:rsidR="00C63C6D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2EF2B071" w14:textId="77777777" w:rsidR="00C63C6D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信息应清晰可辩，否则</w:t>
      </w:r>
      <w:r>
        <w:rPr>
          <w:rFonts w:ascii="仿宋" w:eastAsia="仿宋" w:hAnsi="仿宋" w:hint="eastAsia"/>
          <w:sz w:val="32"/>
          <w:szCs w:val="32"/>
        </w:rPr>
        <w:t>公开比选</w:t>
      </w:r>
      <w:r w:rsidRPr="00F938BF">
        <w:rPr>
          <w:rFonts w:ascii="仿宋" w:eastAsia="仿宋" w:hAnsi="仿宋" w:hint="eastAsia"/>
          <w:sz w:val="32"/>
          <w:szCs w:val="32"/>
        </w:rPr>
        <w:t>无效。</w:t>
      </w:r>
    </w:p>
    <w:p w14:paraId="2F67B97E" w14:textId="77777777" w:rsidR="00C63C6D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C63C6D" w:rsidSect="00C63C6D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3943D377" w14:textId="77777777" w:rsidR="00C63C6D" w:rsidRPr="00266BB8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附</w:t>
      </w:r>
      <w:r>
        <w:rPr>
          <w:rFonts w:ascii="仿宋" w:eastAsia="仿宋" w:hAnsi="仿宋" w:hint="eastAsia"/>
          <w:sz w:val="32"/>
          <w:szCs w:val="32"/>
        </w:rPr>
        <w:t>件5</w:t>
      </w:r>
      <w:r w:rsidRPr="00266BB8">
        <w:rPr>
          <w:rFonts w:ascii="仿宋" w:eastAsia="仿宋" w:hAnsi="仿宋"/>
          <w:sz w:val="32"/>
          <w:szCs w:val="32"/>
        </w:rPr>
        <w:t>：</w:t>
      </w:r>
    </w:p>
    <w:p w14:paraId="7A145B03" w14:textId="77777777" w:rsidR="00C63C6D" w:rsidRPr="00266BB8" w:rsidRDefault="00C63C6D" w:rsidP="00C63C6D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266BB8">
        <w:rPr>
          <w:rFonts w:ascii="方正小标宋简体" w:eastAsia="方正小标宋简体" w:hAnsi="方正小标宋简体" w:hint="eastAsia"/>
          <w:sz w:val="44"/>
          <w:szCs w:val="44"/>
        </w:rPr>
        <w:t>廉政承诺书</w:t>
      </w:r>
    </w:p>
    <w:p w14:paraId="79F479AC" w14:textId="77777777" w:rsidR="00C63C6D" w:rsidRPr="00266BB8" w:rsidRDefault="00C63C6D" w:rsidP="00C63C6D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32ECB7CB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根据国家廉政建设的有关规定，为了做好物资采购中的党风廉政建</w:t>
      </w:r>
      <w:r w:rsidRPr="00266BB8">
        <w:rPr>
          <w:rFonts w:ascii="仿宋" w:eastAsia="仿宋" w:hAnsi="仿宋"/>
          <w:sz w:val="32"/>
          <w:szCs w:val="32"/>
        </w:rPr>
        <w:t>设，保证物资采购高效优质，保证物资采购资金的安全和有效使用以及</w:t>
      </w:r>
      <w:r w:rsidRPr="00266BB8">
        <w:rPr>
          <w:rFonts w:ascii="仿宋" w:eastAsia="仿宋" w:hAnsi="仿宋" w:hint="eastAsia"/>
          <w:sz w:val="32"/>
          <w:szCs w:val="32"/>
        </w:rPr>
        <w:t>投资效益，我公司做如下廉政承诺。</w:t>
      </w:r>
    </w:p>
    <w:p w14:paraId="3E53A769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一、教育人员遵守党和国家有关法律法规的有关规定。</w:t>
      </w:r>
    </w:p>
    <w:p w14:paraId="2A4A379F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二、严格执行重庆医科大学附属第三医院（捷尔医院）物资采购的合同文件，</w:t>
      </w:r>
      <w:r w:rsidRPr="00266BB8">
        <w:rPr>
          <w:rFonts w:ascii="仿宋" w:eastAsia="仿宋" w:hAnsi="仿宋"/>
          <w:sz w:val="32"/>
          <w:szCs w:val="32"/>
        </w:rPr>
        <w:t>自觉按合同办事。</w:t>
      </w:r>
    </w:p>
    <w:p w14:paraId="7C448562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三、坚持公开、公正、诚信、透明的原则（除法律认定的商业秘密</w:t>
      </w:r>
      <w:r w:rsidRPr="00266BB8">
        <w:rPr>
          <w:rFonts w:ascii="仿宋" w:eastAsia="仿宋" w:hAnsi="仿宋"/>
          <w:sz w:val="32"/>
          <w:szCs w:val="32"/>
        </w:rPr>
        <w:t xml:space="preserve"> 和合同文件另有规定之外），不得损害国家和集体利益，违反物资采购</w:t>
      </w:r>
      <w:r w:rsidRPr="00266BB8">
        <w:rPr>
          <w:rFonts w:ascii="仿宋" w:eastAsia="仿宋" w:hAnsi="仿宋" w:hint="eastAsia"/>
          <w:sz w:val="32"/>
          <w:szCs w:val="32"/>
        </w:rPr>
        <w:t>管理规章制度。</w:t>
      </w:r>
    </w:p>
    <w:p w14:paraId="6BBDEA66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四、建立健全廉政制度，开展廉政教育，设立廉政告示牌，公布举报电话，监督并认真查处违法违纪行为。</w:t>
      </w:r>
    </w:p>
    <w:p w14:paraId="6FD6372C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五、在业务活动中如有违反廉政规定的行为，给予及时纠正。</w:t>
      </w:r>
    </w:p>
    <w:p w14:paraId="080F9763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六、如有违反本合同义务条款的行为，将接受有关部门处理。</w:t>
      </w:r>
    </w:p>
    <w:p w14:paraId="592F62F1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七、不得以任何理由向采购人行贿或赠礼金、有价证券、礼品。</w:t>
      </w:r>
    </w:p>
    <w:p w14:paraId="09F39750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八、不得以任何名义为采购人报销应由其单位或个人支付的任何费用。</w:t>
      </w:r>
    </w:p>
    <w:p w14:paraId="610090C8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九、不得以任何理由安排采购人的工作人员参加宴请及娱乐活动。</w:t>
      </w:r>
    </w:p>
    <w:p w14:paraId="6DBF35C0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十、不得为采购人购置或提供通讯工具、交通工具和高档办公用品等。</w:t>
      </w:r>
    </w:p>
    <w:p w14:paraId="5B7DF292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十一、违纪违法责任：</w:t>
      </w:r>
    </w:p>
    <w:p w14:paraId="09CFB391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我公司违反本合同第一、二条，按管理权限，依据有关规定给予党纪、政纪或组织处理；给采购人造成损失的，应予以赔偿，并按有关规定给予经济处罚；若违反七、八、九、十条规定，每发现一次，按每次</w:t>
      </w:r>
      <w:r w:rsidRPr="00266BB8">
        <w:rPr>
          <w:rFonts w:ascii="仿宋" w:eastAsia="仿宋" w:hAnsi="仿宋"/>
          <w:sz w:val="32"/>
          <w:szCs w:val="32"/>
        </w:rPr>
        <w:t>查处金额的10倍支付发包人违约金；如情节严重，采购人有权要求更换项目负责人或终止合同。对违纪违法者列入</w:t>
      </w:r>
      <w:proofErr w:type="gramStart"/>
      <w:r w:rsidRPr="00266BB8">
        <w:rPr>
          <w:rFonts w:ascii="仿宋" w:eastAsia="仿宋" w:hAnsi="仿宋"/>
          <w:sz w:val="32"/>
          <w:szCs w:val="32"/>
        </w:rPr>
        <w:t>市邀标办</w:t>
      </w:r>
      <w:proofErr w:type="gramEnd"/>
      <w:r w:rsidRPr="00266BB8">
        <w:rPr>
          <w:rFonts w:ascii="仿宋" w:eastAsia="仿宋" w:hAnsi="仿宋"/>
          <w:sz w:val="32"/>
          <w:szCs w:val="32"/>
        </w:rPr>
        <w:t>黑名单。对触及刑法者移送司法机关处理。</w:t>
      </w:r>
    </w:p>
    <w:p w14:paraId="00288411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十二、由于行贿受贿案发有延后性，保留追述责任时效。</w:t>
      </w:r>
    </w:p>
    <w:p w14:paraId="2D5F311B" w14:textId="77777777" w:rsidR="00C63C6D" w:rsidRPr="00266BB8" w:rsidRDefault="00C63C6D" w:rsidP="00C63C6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十三、</w:t>
      </w:r>
      <w:proofErr w:type="gramStart"/>
      <w:r w:rsidRPr="00266BB8">
        <w:rPr>
          <w:rFonts w:ascii="仿宋" w:eastAsia="仿宋" w:hAnsi="仿宋" w:hint="eastAsia"/>
          <w:sz w:val="32"/>
          <w:szCs w:val="32"/>
        </w:rPr>
        <w:t>本承诺</w:t>
      </w:r>
      <w:proofErr w:type="gramEnd"/>
      <w:r w:rsidRPr="00266BB8">
        <w:rPr>
          <w:rFonts w:ascii="仿宋" w:eastAsia="仿宋" w:hAnsi="仿宋" w:hint="eastAsia"/>
          <w:sz w:val="32"/>
          <w:szCs w:val="32"/>
        </w:rPr>
        <w:t>作为合同附件，具有同等法律效力。</w:t>
      </w:r>
    </w:p>
    <w:p w14:paraId="37EBA3BD" w14:textId="77777777" w:rsidR="00C63C6D" w:rsidRPr="00266BB8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5F56419" w14:textId="77777777" w:rsidR="00C63C6D" w:rsidRPr="00266BB8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20DF624" w14:textId="77777777" w:rsidR="00C63C6D" w:rsidRPr="00266BB8" w:rsidRDefault="00C63C6D" w:rsidP="00C63C6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CA87B80" w14:textId="77777777" w:rsidR="00C63C6D" w:rsidRDefault="00C63C6D" w:rsidP="00C63C6D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承诺方：（单位公章）</w:t>
      </w:r>
    </w:p>
    <w:p w14:paraId="1669B7EA" w14:textId="2696AEB9" w:rsidR="003A7AA3" w:rsidRDefault="00C63C6D" w:rsidP="00C63C6D">
      <w:pPr>
        <w:ind w:firstLineChars="1850" w:firstLine="5920"/>
        <w:rPr>
          <w:rFonts w:hint="eastAsia"/>
        </w:rPr>
      </w:pPr>
      <w:r w:rsidRPr="00266BB8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 w:rsidRPr="00266BB8">
        <w:rPr>
          <w:rFonts w:ascii="仿宋" w:eastAsia="仿宋" w:hAnsi="仿宋"/>
          <w:sz w:val="32"/>
          <w:szCs w:val="32"/>
        </w:rPr>
        <w:t xml:space="preserve">年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 xml:space="preserve">月   </w:t>
      </w:r>
      <w:r>
        <w:rPr>
          <w:rFonts w:ascii="仿宋" w:eastAsia="仿宋" w:hAnsi="仿宋"/>
          <w:sz w:val="32"/>
          <w:szCs w:val="32"/>
        </w:rPr>
        <w:t xml:space="preserve"> </w:t>
      </w:r>
    </w:p>
    <w:sectPr w:rsidR="003A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05613" w14:textId="77777777" w:rsidR="00FB2C3F" w:rsidRDefault="00FB2C3F" w:rsidP="00C63C6D">
      <w:pPr>
        <w:rPr>
          <w:rFonts w:hint="eastAsia"/>
        </w:rPr>
      </w:pPr>
      <w:r>
        <w:separator/>
      </w:r>
    </w:p>
  </w:endnote>
  <w:endnote w:type="continuationSeparator" w:id="0">
    <w:p w14:paraId="12B743CF" w14:textId="77777777" w:rsidR="00FB2C3F" w:rsidRDefault="00FB2C3F" w:rsidP="00C63C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C00E5" w14:textId="77777777" w:rsidR="00FB2C3F" w:rsidRDefault="00FB2C3F" w:rsidP="00C63C6D">
      <w:pPr>
        <w:rPr>
          <w:rFonts w:hint="eastAsia"/>
        </w:rPr>
      </w:pPr>
      <w:r>
        <w:separator/>
      </w:r>
    </w:p>
  </w:footnote>
  <w:footnote w:type="continuationSeparator" w:id="0">
    <w:p w14:paraId="71FCA182" w14:textId="77777777" w:rsidR="00FB2C3F" w:rsidRDefault="00FB2C3F" w:rsidP="00C63C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0E"/>
    <w:rsid w:val="00115FA5"/>
    <w:rsid w:val="00141EE9"/>
    <w:rsid w:val="003A7AA3"/>
    <w:rsid w:val="00864217"/>
    <w:rsid w:val="00A61AA0"/>
    <w:rsid w:val="00C0420E"/>
    <w:rsid w:val="00C63C6D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B27F2"/>
  <w15:chartTrackingRefBased/>
  <w15:docId w15:val="{B70B09BC-6B57-4CB5-809F-0A10E637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C6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C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C63C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C63C6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C63C6D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63C6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7">
    <w:name w:val="Table Grid"/>
    <w:basedOn w:val="a1"/>
    <w:uiPriority w:val="39"/>
    <w:rsid w:val="00C63C6D"/>
    <w:rPr>
      <w:rFonts w:ascii="Arial" w:hAnsi="Arial" w:cs="Arial"/>
      <w:snapToGrid w:val="0"/>
      <w:color w:val="000000"/>
      <w:kern w:val="0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C6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cae</dc:creator>
  <cp:keywords/>
  <dc:description/>
  <cp:lastModifiedBy>tong cae</cp:lastModifiedBy>
  <cp:revision>2</cp:revision>
  <dcterms:created xsi:type="dcterms:W3CDTF">2024-08-27T01:53:00Z</dcterms:created>
  <dcterms:modified xsi:type="dcterms:W3CDTF">2024-08-27T01:54:00Z</dcterms:modified>
</cp:coreProperties>
</file>