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1A38EE26" w:rsidR="00A86C02" w:rsidRPr="002E7100" w:rsidRDefault="00240806" w:rsidP="00E73028">
      <w:pPr>
        <w:spacing w:line="560" w:lineRule="exact"/>
        <w:jc w:val="center"/>
        <w:rPr>
          <w:rFonts w:ascii="仿宋" w:eastAsia="仿宋" w:hAnsi="仿宋" w:hint="eastAsia"/>
          <w:sz w:val="40"/>
          <w:szCs w:val="40"/>
        </w:rPr>
      </w:pPr>
      <w:r>
        <w:rPr>
          <w:rFonts w:ascii="仿宋" w:eastAsia="仿宋" w:hAnsi="仿宋" w:hint="eastAsia"/>
          <w:sz w:val="40"/>
          <w:szCs w:val="40"/>
        </w:rPr>
        <w:t>血液净化机</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75709F98"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2B5FCD">
        <w:rPr>
          <w:rFonts w:ascii="仿宋" w:eastAsia="仿宋" w:hAnsi="仿宋" w:hint="eastAsia"/>
          <w:sz w:val="32"/>
          <w:szCs w:val="32"/>
        </w:rPr>
        <w:t>1</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38382BDD"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240806">
        <w:rPr>
          <w:rFonts w:ascii="仿宋" w:eastAsia="仿宋" w:hAnsi="仿宋" w:hint="eastAsia"/>
          <w:sz w:val="32"/>
          <w:szCs w:val="32"/>
        </w:rPr>
        <w:t>血液净化机</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51A59754"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240806">
              <w:rPr>
                <w:rFonts w:ascii="仿宋" w:eastAsia="仿宋" w:hAnsi="仿宋" w:hint="eastAsia"/>
                <w:sz w:val="28"/>
                <w:szCs w:val="28"/>
                <w:lang w:eastAsia="zh-CN"/>
              </w:rPr>
              <w:t>血液净化机</w:t>
            </w:r>
          </w:p>
        </w:tc>
        <w:tc>
          <w:tcPr>
            <w:tcW w:w="911" w:type="pct"/>
            <w:vAlign w:val="center"/>
          </w:tcPr>
          <w:p w14:paraId="6F3D0077" w14:textId="2FA53172" w:rsidR="00830867" w:rsidRPr="00980DCB" w:rsidRDefault="006303B2"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26</w:t>
            </w:r>
          </w:p>
        </w:tc>
        <w:tc>
          <w:tcPr>
            <w:tcW w:w="1000" w:type="pct"/>
            <w:vAlign w:val="center"/>
          </w:tcPr>
          <w:p w14:paraId="0BB87EFA" w14:textId="50685CC8" w:rsidR="00830867" w:rsidRPr="00980DCB" w:rsidRDefault="006303B2"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r w:rsidR="00165E13">
              <w:rPr>
                <w:rFonts w:ascii="仿宋" w:eastAsia="仿宋" w:hAnsi="仿宋" w:hint="eastAsia"/>
                <w:sz w:val="28"/>
                <w:szCs w:val="28"/>
                <w:lang w:eastAsia="zh-CN"/>
              </w:rPr>
              <w:t>台</w:t>
            </w:r>
          </w:p>
        </w:tc>
        <w:tc>
          <w:tcPr>
            <w:tcW w:w="1000" w:type="pct"/>
            <w:vAlign w:val="center"/>
          </w:tcPr>
          <w:p w14:paraId="0566FA3C" w14:textId="1698D4F4" w:rsidR="00830867" w:rsidRPr="00980DCB" w:rsidRDefault="00630933"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5</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3FCA01C3"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2B5FCD">
        <w:rPr>
          <w:rFonts w:ascii="仿宋" w:eastAsia="仿宋" w:hAnsi="仿宋" w:hint="eastAsia"/>
          <w:sz w:val="32"/>
          <w:szCs w:val="32"/>
        </w:rPr>
        <w:t>11月21日</w:t>
      </w:r>
      <w:r>
        <w:rPr>
          <w:rFonts w:ascii="仿宋" w:eastAsia="仿宋" w:hAnsi="仿宋" w:hint="eastAsia"/>
          <w:sz w:val="32"/>
          <w:szCs w:val="32"/>
        </w:rPr>
        <w:t>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0A615ED5"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2B5FCD">
        <w:rPr>
          <w:rFonts w:ascii="仿宋" w:eastAsia="仿宋" w:hAnsi="仿宋" w:hint="eastAsia"/>
          <w:sz w:val="32"/>
          <w:szCs w:val="32"/>
        </w:rPr>
        <w:t>11月21日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62D584FB"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2B5FCD">
        <w:rPr>
          <w:rFonts w:ascii="仿宋" w:eastAsia="仿宋" w:hAnsi="仿宋" w:hint="eastAsia"/>
          <w:sz w:val="32"/>
          <w:szCs w:val="32"/>
        </w:rPr>
        <w:t>11月21日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02198B38"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2B5FCD">
        <w:rPr>
          <w:rFonts w:ascii="仿宋" w:eastAsia="仿宋" w:hAnsi="仿宋" w:hint="eastAsia"/>
          <w:sz w:val="32"/>
          <w:szCs w:val="32"/>
        </w:rPr>
        <w:t>11月2</w:t>
      </w:r>
      <w:r w:rsidR="002B5FCD">
        <w:rPr>
          <w:rFonts w:ascii="仿宋" w:eastAsia="仿宋" w:hAnsi="仿宋" w:hint="eastAsia"/>
          <w:sz w:val="32"/>
          <w:szCs w:val="32"/>
        </w:rPr>
        <w:t>2</w:t>
      </w:r>
      <w:r w:rsidR="002B5FCD">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w:t>
      </w:r>
      <w:r w:rsidR="0048356E" w:rsidRPr="00B339A5">
        <w:rPr>
          <w:rFonts w:ascii="仿宋" w:eastAsia="仿宋" w:hAnsi="仿宋" w:hint="eastAsia"/>
          <w:sz w:val="32"/>
          <w:szCs w:val="32"/>
        </w:rPr>
        <w:lastRenderedPageBreak/>
        <w:t>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1E611E04"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2B5FCD">
        <w:rPr>
          <w:rFonts w:ascii="仿宋" w:eastAsia="仿宋" w:hAnsi="仿宋" w:hint="eastAsia"/>
          <w:sz w:val="32"/>
          <w:szCs w:val="32"/>
        </w:rPr>
        <w:t>11月2</w:t>
      </w:r>
      <w:r w:rsidR="002B5FCD">
        <w:rPr>
          <w:rFonts w:ascii="仿宋" w:eastAsia="仿宋" w:hAnsi="仿宋" w:hint="eastAsia"/>
          <w:sz w:val="32"/>
          <w:szCs w:val="32"/>
        </w:rPr>
        <w:t>6</w:t>
      </w:r>
      <w:r w:rsidR="002B5FCD">
        <w:rPr>
          <w:rFonts w:ascii="仿宋" w:eastAsia="仿宋" w:hAnsi="仿宋" w:hint="eastAsia"/>
          <w:sz w:val="32"/>
          <w:szCs w:val="32"/>
        </w:rPr>
        <w:t>日</w:t>
      </w:r>
      <w:r>
        <w:rPr>
          <w:rFonts w:ascii="仿宋" w:eastAsia="仿宋" w:hAnsi="仿宋" w:hint="eastAsia"/>
          <w:sz w:val="32"/>
          <w:szCs w:val="32"/>
        </w:rPr>
        <w:t>上午</w:t>
      </w:r>
      <w:r w:rsidR="002B5FCD">
        <w:rPr>
          <w:rFonts w:ascii="仿宋" w:eastAsia="仿宋" w:hAnsi="仿宋" w:hint="eastAsia"/>
          <w:sz w:val="32"/>
          <w:szCs w:val="32"/>
        </w:rPr>
        <w:t>10</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3750F71E"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8E755D">
        <w:rPr>
          <w:rFonts w:ascii="仿宋" w:eastAsia="仿宋" w:hAnsi="仿宋" w:hint="eastAsia"/>
          <w:sz w:val="32"/>
          <w:szCs w:val="32"/>
        </w:rPr>
        <w:t>血液净化机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0182B811" w:rsidR="00C04896" w:rsidRDefault="008E755D" w:rsidP="008A363E">
            <w:pPr>
              <w:spacing w:line="560" w:lineRule="exact"/>
              <w:ind w:firstLineChars="200" w:firstLine="400"/>
              <w:jc w:val="left"/>
              <w:rPr>
                <w:sz w:val="24"/>
                <w:szCs w:val="24"/>
                <w:lang w:eastAsia="zh-CN"/>
              </w:rPr>
            </w:pPr>
            <w:r w:rsidRPr="008E755D">
              <w:rPr>
                <w:rStyle w:val="NormalCharacter"/>
                <w:rFonts w:hint="eastAsia"/>
                <w:color w:val="121212"/>
                <w:sz w:val="20"/>
                <w:szCs w:val="20"/>
                <w:lang w:eastAsia="zh-CN"/>
              </w:rPr>
              <w:t>满足肾脏替代治疗和人工肝治疗要求，包含但不限于</w:t>
            </w:r>
            <w:r w:rsidRPr="008E755D">
              <w:rPr>
                <w:rStyle w:val="NormalCharacter"/>
                <w:rFonts w:hint="eastAsia"/>
                <w:color w:val="121212"/>
                <w:sz w:val="20"/>
                <w:szCs w:val="20"/>
                <w:lang w:eastAsia="zh-CN"/>
              </w:rPr>
              <w:t>CVVH</w:t>
            </w:r>
            <w:r w:rsidRPr="008E755D">
              <w:rPr>
                <w:rStyle w:val="NormalCharacter"/>
                <w:rFonts w:hint="eastAsia"/>
                <w:color w:val="121212"/>
                <w:sz w:val="20"/>
                <w:szCs w:val="20"/>
                <w:lang w:eastAsia="zh-CN"/>
              </w:rPr>
              <w:t>、</w:t>
            </w:r>
            <w:r w:rsidRPr="008E755D">
              <w:rPr>
                <w:rStyle w:val="NormalCharacter"/>
                <w:rFonts w:hint="eastAsia"/>
                <w:color w:val="121212"/>
                <w:sz w:val="20"/>
                <w:szCs w:val="20"/>
                <w:lang w:eastAsia="zh-CN"/>
              </w:rPr>
              <w:t>CVVHD</w:t>
            </w:r>
            <w:r w:rsidRPr="008E755D">
              <w:rPr>
                <w:rStyle w:val="NormalCharacter"/>
                <w:rFonts w:hint="eastAsia"/>
                <w:color w:val="121212"/>
                <w:sz w:val="20"/>
                <w:szCs w:val="20"/>
                <w:lang w:eastAsia="zh-CN"/>
              </w:rPr>
              <w:t>、</w:t>
            </w:r>
            <w:r w:rsidRPr="008E755D">
              <w:rPr>
                <w:rStyle w:val="NormalCharacter"/>
                <w:rFonts w:hint="eastAsia"/>
                <w:color w:val="121212"/>
                <w:sz w:val="20"/>
                <w:szCs w:val="20"/>
                <w:lang w:eastAsia="zh-CN"/>
              </w:rPr>
              <w:t>CVVHDF</w:t>
            </w:r>
            <w:r w:rsidRPr="008E755D">
              <w:rPr>
                <w:rStyle w:val="NormalCharacter"/>
                <w:rFonts w:hint="eastAsia"/>
                <w:color w:val="121212"/>
                <w:sz w:val="20"/>
                <w:szCs w:val="20"/>
                <w:lang w:eastAsia="zh-CN"/>
              </w:rPr>
              <w:t>以及血浆置换</w:t>
            </w:r>
            <w:r>
              <w:rPr>
                <w:rStyle w:val="NormalCharacter"/>
                <w:rFonts w:hint="eastAsia"/>
                <w:color w:val="121212"/>
                <w:sz w:val="20"/>
                <w:szCs w:val="20"/>
                <w:lang w:eastAsia="zh-CN"/>
              </w:rPr>
              <w:t>。</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056C01D1" w:rsidR="00C04896" w:rsidRDefault="008E755D" w:rsidP="00C74306">
            <w:pPr>
              <w:pStyle w:val="TableText"/>
              <w:spacing w:before="36" w:line="480" w:lineRule="exact"/>
              <w:ind w:left="140"/>
              <w:rPr>
                <w:rFonts w:hint="eastAsia"/>
                <w:sz w:val="24"/>
                <w:szCs w:val="24"/>
                <w:lang w:eastAsia="zh-CN"/>
              </w:rPr>
            </w:pPr>
            <w:r>
              <w:rPr>
                <w:rFonts w:hint="eastAsia"/>
                <w:sz w:val="24"/>
                <w:szCs w:val="24"/>
                <w:lang w:eastAsia="zh-CN"/>
              </w:rPr>
              <w:t>感染</w:t>
            </w:r>
            <w:r w:rsidR="007D69ED">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78D98671"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r w:rsidR="0058205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，应逐条提供证明材料，无法证明视为负偏离</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w:t>
            </w:r>
          </w:p>
        </w:tc>
      </w:tr>
      <w:tr w:rsidR="008E755D" w14:paraId="6B3FE63F" w14:textId="77777777" w:rsidTr="00493B38">
        <w:trPr>
          <w:trHeight w:val="382"/>
        </w:trPr>
        <w:tc>
          <w:tcPr>
            <w:tcW w:w="1799" w:type="dxa"/>
            <w:vAlign w:val="center"/>
          </w:tcPr>
          <w:p w14:paraId="7D292A19" w14:textId="3F6DF733" w:rsidR="008E755D" w:rsidRDefault="00816406" w:rsidP="008E755D">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cs="仿宋" w:hint="eastAsia"/>
                <w:noProof/>
                <w:spacing w:val="-1"/>
                <w:sz w:val="22"/>
                <w14:textOutline w14:w="4356" w14:cap="sq" w14:cmpd="sng" w14:algn="ctr">
                  <w14:solidFill>
                    <w14:srgbClr w14:val="000000"/>
                  </w14:solidFill>
                  <w14:prstDash w14:val="solid"/>
                  <w14:bevel/>
                </w14:textOutline>
              </w:rPr>
              <w:t>★</w:t>
            </w:r>
            <w:r w:rsidR="008E755D">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tcPr>
          <w:p w14:paraId="2F40FD3D" w14:textId="5F208976" w:rsidR="008E755D" w:rsidRPr="003C2125"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开放式管路设计，可兼容多品牌的滤器和分离器。</w:t>
            </w:r>
          </w:p>
        </w:tc>
      </w:tr>
      <w:tr w:rsidR="008E755D" w14:paraId="6CB6A45D" w14:textId="77777777" w:rsidTr="00493B38">
        <w:trPr>
          <w:trHeight w:val="382"/>
        </w:trPr>
        <w:tc>
          <w:tcPr>
            <w:tcW w:w="1799" w:type="dxa"/>
            <w:vAlign w:val="center"/>
          </w:tcPr>
          <w:p w14:paraId="38267ECC" w14:textId="2E16795C" w:rsidR="008E755D" w:rsidRDefault="00F35510"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cs="仿宋" w:hint="eastAsia"/>
                <w:noProof/>
                <w:spacing w:val="-1"/>
                <w:sz w:val="22"/>
                <w14:textOutline w14:w="4356" w14:cap="sq" w14:cmpd="sng" w14:algn="ctr">
                  <w14:solidFill>
                    <w14:srgbClr w14:val="000000"/>
                  </w14:solidFill>
                  <w14:prstDash w14:val="solid"/>
                  <w14:bevel/>
                </w14:textOutline>
              </w:rPr>
              <w:t>★</w:t>
            </w:r>
            <w:r w:rsidR="00816406">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tcPr>
          <w:p w14:paraId="37DB2210" w14:textId="2C95B9F8"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设备</w:t>
            </w:r>
            <w:r w:rsidR="00F35510" w:rsidRPr="00F35510">
              <w:rPr>
                <w:rFonts w:hint="eastAsia"/>
                <w:lang w:eastAsia="zh-CN"/>
              </w:rPr>
              <w:t>血液净化</w:t>
            </w:r>
            <w:r w:rsidR="00F35510">
              <w:rPr>
                <w:rFonts w:hint="eastAsia"/>
                <w:lang w:eastAsia="zh-CN"/>
              </w:rPr>
              <w:t>治疗模式包括：</w:t>
            </w:r>
            <w:r w:rsidR="00F35510" w:rsidRPr="00F35510">
              <w:rPr>
                <w:rFonts w:hint="eastAsia"/>
                <w:lang w:eastAsia="zh-CN"/>
              </w:rPr>
              <w:t>持续性血液滤过、单纯血浆置换、双重血浆置换、血浆吸附</w:t>
            </w:r>
            <w:r w:rsidR="00F047A0">
              <w:rPr>
                <w:rFonts w:hint="eastAsia"/>
                <w:lang w:eastAsia="zh-CN"/>
              </w:rPr>
              <w:t>等</w:t>
            </w:r>
          </w:p>
        </w:tc>
      </w:tr>
      <w:tr w:rsidR="008E755D" w14:paraId="1157EBE4" w14:textId="77777777" w:rsidTr="00493B38">
        <w:trPr>
          <w:trHeight w:val="382"/>
        </w:trPr>
        <w:tc>
          <w:tcPr>
            <w:tcW w:w="1799" w:type="dxa"/>
            <w:vAlign w:val="center"/>
          </w:tcPr>
          <w:p w14:paraId="085FCC64" w14:textId="7833ACAE"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tcPr>
          <w:p w14:paraId="5E30CDE6" w14:textId="4DBE9048"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彩色触摸屏中文显示，可实时显示治疗过程参数和曲线图形</w:t>
            </w:r>
          </w:p>
        </w:tc>
      </w:tr>
      <w:tr w:rsidR="008E755D" w14:paraId="2B5E7319" w14:textId="77777777" w:rsidTr="00493B38">
        <w:trPr>
          <w:trHeight w:val="382"/>
        </w:trPr>
        <w:tc>
          <w:tcPr>
            <w:tcW w:w="1799" w:type="dxa"/>
            <w:vAlign w:val="center"/>
          </w:tcPr>
          <w:p w14:paraId="39D08B0C" w14:textId="7174885E"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tcPr>
          <w:p w14:paraId="10731E4F" w14:textId="1285EEB6"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独立多功能精密注射泵，适用</w:t>
            </w:r>
            <w:r w:rsidRPr="002B72CD">
              <w:rPr>
                <w:rFonts w:hint="eastAsia"/>
                <w:lang w:eastAsia="zh-CN"/>
              </w:rPr>
              <w:t>20ml</w:t>
            </w:r>
            <w:r w:rsidRPr="002B72CD">
              <w:rPr>
                <w:rFonts w:hint="eastAsia"/>
                <w:lang w:eastAsia="zh-CN"/>
              </w:rPr>
              <w:t>、</w:t>
            </w:r>
            <w:r w:rsidRPr="002B72CD">
              <w:rPr>
                <w:rFonts w:hint="eastAsia"/>
                <w:lang w:eastAsia="zh-CN"/>
              </w:rPr>
              <w:t>30ml</w:t>
            </w:r>
            <w:r w:rsidRPr="002B72CD">
              <w:rPr>
                <w:rFonts w:hint="eastAsia"/>
                <w:lang w:eastAsia="zh-CN"/>
              </w:rPr>
              <w:t>、</w:t>
            </w:r>
            <w:r w:rsidRPr="002B72CD">
              <w:rPr>
                <w:rFonts w:hint="eastAsia"/>
                <w:lang w:eastAsia="zh-CN"/>
              </w:rPr>
              <w:t>50ml</w:t>
            </w:r>
            <w:r w:rsidRPr="002B72CD">
              <w:rPr>
                <w:rFonts w:hint="eastAsia"/>
                <w:lang w:eastAsia="zh-CN"/>
              </w:rPr>
              <w:t>多种规格注射器，可用于肝素、氯化钙等推注。</w:t>
            </w:r>
          </w:p>
        </w:tc>
      </w:tr>
      <w:tr w:rsidR="008E755D" w14:paraId="2FD83B31" w14:textId="77777777" w:rsidTr="00493B38">
        <w:trPr>
          <w:trHeight w:val="382"/>
        </w:trPr>
        <w:tc>
          <w:tcPr>
            <w:tcW w:w="1799" w:type="dxa"/>
            <w:vAlign w:val="center"/>
          </w:tcPr>
          <w:p w14:paraId="0D8E5684" w14:textId="1EA0736A"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tcPr>
          <w:p w14:paraId="2899D049" w14:textId="7EFCC8B2"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电子秤：≥</w:t>
            </w:r>
            <w:r w:rsidRPr="002B72CD">
              <w:rPr>
                <w:rFonts w:hint="eastAsia"/>
                <w:lang w:eastAsia="zh-CN"/>
              </w:rPr>
              <w:t>3</w:t>
            </w:r>
            <w:r w:rsidRPr="002B72CD">
              <w:rPr>
                <w:rFonts w:hint="eastAsia"/>
                <w:lang w:eastAsia="zh-CN"/>
              </w:rPr>
              <w:t>个，</w:t>
            </w:r>
            <w:r w:rsidRPr="002B72CD">
              <w:rPr>
                <w:rFonts w:hint="eastAsia"/>
                <w:lang w:eastAsia="zh-CN"/>
              </w:rPr>
              <w:t>0</w:t>
            </w:r>
            <w:r w:rsidRPr="002B72CD">
              <w:rPr>
                <w:rFonts w:hint="eastAsia"/>
                <w:lang w:eastAsia="zh-CN"/>
              </w:rPr>
              <w:t>～</w:t>
            </w:r>
            <w:r w:rsidRPr="002B72CD">
              <w:rPr>
                <w:rFonts w:hint="eastAsia"/>
                <w:lang w:eastAsia="zh-CN"/>
              </w:rPr>
              <w:t>8KG</w:t>
            </w:r>
            <w:r w:rsidRPr="002B72CD">
              <w:rPr>
                <w:rFonts w:hint="eastAsia"/>
                <w:lang w:eastAsia="zh-CN"/>
              </w:rPr>
              <w:t>，液体平衡泵称联动功能，精度±</w:t>
            </w:r>
            <w:r w:rsidRPr="002B72CD">
              <w:rPr>
                <w:rFonts w:hint="eastAsia"/>
                <w:lang w:eastAsia="zh-CN"/>
              </w:rPr>
              <w:t>20g</w:t>
            </w:r>
          </w:p>
        </w:tc>
      </w:tr>
      <w:tr w:rsidR="008E755D" w14:paraId="2DB7B71E" w14:textId="77777777" w:rsidTr="00493B38">
        <w:trPr>
          <w:trHeight w:val="382"/>
        </w:trPr>
        <w:tc>
          <w:tcPr>
            <w:tcW w:w="1799" w:type="dxa"/>
            <w:vAlign w:val="center"/>
          </w:tcPr>
          <w:p w14:paraId="729BBF7F" w14:textId="0C786754"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tcPr>
          <w:p w14:paraId="5C0E5AA1" w14:textId="6565ECEC"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具备≥</w:t>
            </w:r>
            <w:r w:rsidRPr="002B72CD">
              <w:rPr>
                <w:rFonts w:hint="eastAsia"/>
                <w:lang w:eastAsia="zh-CN"/>
              </w:rPr>
              <w:t>3</w:t>
            </w:r>
            <w:r w:rsidRPr="002B72CD">
              <w:rPr>
                <w:rFonts w:hint="eastAsia"/>
                <w:lang w:eastAsia="zh-CN"/>
              </w:rPr>
              <w:t>组管路截止阀，自动开启、闭合动作，完成自动冲洗。</w:t>
            </w:r>
          </w:p>
        </w:tc>
      </w:tr>
      <w:tr w:rsidR="008E755D" w14:paraId="4F53383A" w14:textId="77777777" w:rsidTr="00493B38">
        <w:trPr>
          <w:trHeight w:val="382"/>
        </w:trPr>
        <w:tc>
          <w:tcPr>
            <w:tcW w:w="1799" w:type="dxa"/>
            <w:vAlign w:val="center"/>
          </w:tcPr>
          <w:p w14:paraId="4724828D" w14:textId="0220AF60"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tcPr>
          <w:p w14:paraId="5EB13536" w14:textId="123F1418"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具备两组振摇夹持器，自动摇摆，利于气泡排除，降低凝血风险。</w:t>
            </w:r>
          </w:p>
        </w:tc>
      </w:tr>
      <w:tr w:rsidR="008E755D" w14:paraId="16C544A0" w14:textId="77777777" w:rsidTr="00493B38">
        <w:trPr>
          <w:trHeight w:val="382"/>
        </w:trPr>
        <w:tc>
          <w:tcPr>
            <w:tcW w:w="1799" w:type="dxa"/>
            <w:vAlign w:val="center"/>
          </w:tcPr>
          <w:p w14:paraId="73D67760" w14:textId="3AF4AFA5"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tcPr>
          <w:p w14:paraId="05AE9CE2" w14:textId="152D8139" w:rsidR="008E755D" w:rsidRDefault="008E755D" w:rsidP="008E755D">
            <w:pPr>
              <w:spacing w:line="560" w:lineRule="exact"/>
              <w:ind w:firstLineChars="200" w:firstLine="420"/>
              <w:jc w:val="left"/>
              <w:rPr>
                <w:rStyle w:val="NormalCharacter"/>
                <w:color w:val="121212"/>
                <w:sz w:val="20"/>
                <w:szCs w:val="20"/>
                <w:lang w:eastAsia="zh-CN"/>
              </w:rPr>
            </w:pPr>
            <w:r w:rsidRPr="002B72CD">
              <w:rPr>
                <w:rFonts w:hint="eastAsia"/>
                <w:lang w:eastAsia="zh-CN"/>
              </w:rPr>
              <w:t>具备≥</w:t>
            </w:r>
            <w:r w:rsidRPr="002B72CD">
              <w:rPr>
                <w:rFonts w:hint="eastAsia"/>
                <w:lang w:eastAsia="zh-CN"/>
              </w:rPr>
              <w:t>3</w:t>
            </w:r>
            <w:r w:rsidRPr="002B72CD">
              <w:rPr>
                <w:rFonts w:hint="eastAsia"/>
                <w:lang w:eastAsia="zh-CN"/>
              </w:rPr>
              <w:t>个压力监测：</w:t>
            </w:r>
            <w:r w:rsidR="00F35510">
              <w:rPr>
                <w:rFonts w:hint="eastAsia"/>
                <w:lang w:eastAsia="zh-CN"/>
              </w:rPr>
              <w:t>具备</w:t>
            </w:r>
            <w:r w:rsidR="00855F94" w:rsidRPr="00F35510">
              <w:rPr>
                <w:rFonts w:hint="eastAsia"/>
                <w:lang w:eastAsia="zh-CN"/>
              </w:rPr>
              <w:t>动脉压</w:t>
            </w:r>
            <w:r w:rsidR="00F35510" w:rsidRPr="00F35510">
              <w:rPr>
                <w:rFonts w:hint="eastAsia"/>
                <w:lang w:eastAsia="zh-CN"/>
              </w:rPr>
              <w:t>、</w:t>
            </w:r>
            <w:r w:rsidR="00855F94" w:rsidRPr="00F35510">
              <w:rPr>
                <w:rFonts w:hint="eastAsia"/>
                <w:lang w:eastAsia="zh-CN"/>
              </w:rPr>
              <w:t>静脉压</w:t>
            </w:r>
            <w:r w:rsidR="00F35510" w:rsidRPr="00F35510">
              <w:rPr>
                <w:rFonts w:hint="eastAsia"/>
                <w:lang w:eastAsia="zh-CN"/>
              </w:rPr>
              <w:t>、</w:t>
            </w:r>
            <w:r w:rsidR="00855F94" w:rsidRPr="00F35510">
              <w:rPr>
                <w:rFonts w:hint="eastAsia"/>
                <w:lang w:eastAsia="zh-CN"/>
              </w:rPr>
              <w:t>滤器入口压</w:t>
            </w:r>
          </w:p>
        </w:tc>
      </w:tr>
      <w:tr w:rsidR="008E755D" w14:paraId="7CA46188" w14:textId="77777777" w:rsidTr="00493B38">
        <w:trPr>
          <w:trHeight w:val="382"/>
        </w:trPr>
        <w:tc>
          <w:tcPr>
            <w:tcW w:w="1799" w:type="dxa"/>
            <w:vAlign w:val="center"/>
          </w:tcPr>
          <w:p w14:paraId="5C2A3BCC" w14:textId="58032881" w:rsidR="008E755D" w:rsidRDefault="00816406" w:rsidP="008E755D">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9</w:t>
            </w:r>
          </w:p>
        </w:tc>
        <w:tc>
          <w:tcPr>
            <w:tcW w:w="8830" w:type="dxa"/>
          </w:tcPr>
          <w:p w14:paraId="5B44E224" w14:textId="13666FAF" w:rsidR="008E755D" w:rsidRDefault="00E40EAC" w:rsidP="008E755D">
            <w:pPr>
              <w:spacing w:line="560" w:lineRule="exact"/>
              <w:ind w:firstLineChars="200" w:firstLine="420"/>
              <w:jc w:val="left"/>
              <w:rPr>
                <w:rStyle w:val="NormalCharacter"/>
                <w:color w:val="121212"/>
                <w:sz w:val="20"/>
                <w:szCs w:val="20"/>
                <w:lang w:eastAsia="zh-CN"/>
              </w:rPr>
            </w:pPr>
            <w:r w:rsidRPr="00E40EAC">
              <w:rPr>
                <w:rFonts w:hint="eastAsia"/>
                <w:lang w:eastAsia="zh-CN"/>
              </w:rPr>
              <w:t>具备</w:t>
            </w:r>
            <w:r w:rsidRPr="00F35510">
              <w:rPr>
                <w:rFonts w:hint="eastAsia"/>
                <w:lang w:eastAsia="zh-CN"/>
              </w:rPr>
              <w:t>血泵、置换液泵、透析液泵、滤过液泵</w:t>
            </w:r>
          </w:p>
        </w:tc>
      </w:tr>
      <w:tr w:rsidR="008E755D" w14:paraId="389DEB34" w14:textId="77777777" w:rsidTr="00493B38">
        <w:trPr>
          <w:trHeight w:val="382"/>
        </w:trPr>
        <w:tc>
          <w:tcPr>
            <w:tcW w:w="1799" w:type="dxa"/>
            <w:vAlign w:val="center"/>
          </w:tcPr>
          <w:p w14:paraId="7D00A897" w14:textId="06EDA3B1"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10</w:t>
            </w:r>
          </w:p>
        </w:tc>
        <w:tc>
          <w:tcPr>
            <w:tcW w:w="8830" w:type="dxa"/>
          </w:tcPr>
          <w:p w14:paraId="1D509CD9" w14:textId="075137DC" w:rsidR="008E755D" w:rsidRDefault="00F047A0" w:rsidP="008E755D">
            <w:pPr>
              <w:spacing w:line="560" w:lineRule="exact"/>
              <w:ind w:firstLineChars="200" w:firstLine="420"/>
              <w:jc w:val="left"/>
              <w:rPr>
                <w:rStyle w:val="NormalCharacter"/>
                <w:color w:val="121212"/>
                <w:sz w:val="20"/>
                <w:szCs w:val="20"/>
                <w:lang w:eastAsia="zh-CN"/>
              </w:rPr>
            </w:pPr>
            <w:r>
              <w:rPr>
                <w:rFonts w:hint="eastAsia"/>
                <w:lang w:eastAsia="zh-CN"/>
              </w:rPr>
              <w:t>具备</w:t>
            </w:r>
            <w:r w:rsidR="00E40EAC">
              <w:rPr>
                <w:rFonts w:hint="eastAsia"/>
                <w:lang w:eastAsia="zh-CN"/>
              </w:rPr>
              <w:t>加</w:t>
            </w:r>
            <w:r w:rsidR="00E40EAC" w:rsidRPr="00E40EAC">
              <w:rPr>
                <w:rFonts w:hint="eastAsia"/>
                <w:lang w:eastAsia="zh-CN"/>
              </w:rPr>
              <w:t>温器：</w:t>
            </w:r>
            <w:r w:rsidRPr="00E40EAC">
              <w:rPr>
                <w:rFonts w:hint="eastAsia"/>
                <w:lang w:eastAsia="zh-CN"/>
              </w:rPr>
              <w:t>可</w:t>
            </w:r>
            <w:r>
              <w:rPr>
                <w:rFonts w:hint="eastAsia"/>
                <w:lang w:eastAsia="zh-CN"/>
              </w:rPr>
              <w:t>设定温度在</w:t>
            </w:r>
            <w:r w:rsidR="00E40EAC" w:rsidRPr="00E40EAC">
              <w:rPr>
                <w:rFonts w:hint="eastAsia"/>
                <w:lang w:eastAsia="zh-CN"/>
              </w:rPr>
              <w:t>35</w:t>
            </w:r>
            <w:r w:rsidR="00E40EAC" w:rsidRPr="00E40EAC">
              <w:rPr>
                <w:rFonts w:hint="eastAsia"/>
                <w:lang w:eastAsia="zh-CN"/>
              </w:rPr>
              <w:t>～</w:t>
            </w:r>
            <w:r w:rsidR="00E40EAC" w:rsidRPr="00E40EAC">
              <w:rPr>
                <w:rFonts w:hint="eastAsia"/>
                <w:lang w:eastAsia="zh-CN"/>
              </w:rPr>
              <w:t>38</w:t>
            </w:r>
            <w:r w:rsidR="00E40EAC" w:rsidRPr="00E40EAC">
              <w:rPr>
                <w:rFonts w:hint="eastAsia"/>
                <w:lang w:eastAsia="zh-CN"/>
              </w:rPr>
              <w:t>℃</w:t>
            </w:r>
            <w:r>
              <w:rPr>
                <w:rFonts w:hint="eastAsia"/>
                <w:lang w:eastAsia="zh-CN"/>
              </w:rPr>
              <w:t>±</w:t>
            </w:r>
            <w:r>
              <w:rPr>
                <w:rFonts w:hint="eastAsia"/>
                <w:lang w:eastAsia="zh-CN"/>
              </w:rPr>
              <w:t>1</w:t>
            </w:r>
            <w:r w:rsidRPr="00E40EAC">
              <w:rPr>
                <w:rFonts w:hint="eastAsia"/>
                <w:lang w:eastAsia="zh-CN"/>
              </w:rPr>
              <w:t>℃</w:t>
            </w:r>
            <w:r>
              <w:rPr>
                <w:rFonts w:hint="eastAsia"/>
                <w:lang w:eastAsia="zh-CN"/>
              </w:rPr>
              <w:t>范围内</w:t>
            </w:r>
          </w:p>
        </w:tc>
      </w:tr>
      <w:tr w:rsidR="008E755D" w14:paraId="377FF582" w14:textId="77777777" w:rsidTr="00493B38">
        <w:trPr>
          <w:trHeight w:val="382"/>
        </w:trPr>
        <w:tc>
          <w:tcPr>
            <w:tcW w:w="1799" w:type="dxa"/>
            <w:vAlign w:val="center"/>
          </w:tcPr>
          <w:p w14:paraId="18C2FB21" w14:textId="4978F7B7"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lastRenderedPageBreak/>
              <w:t>11</w:t>
            </w:r>
          </w:p>
        </w:tc>
        <w:tc>
          <w:tcPr>
            <w:tcW w:w="8830" w:type="dxa"/>
          </w:tcPr>
          <w:p w14:paraId="0B28CE53" w14:textId="0E684DC1" w:rsidR="008E755D" w:rsidRDefault="00E40EAC" w:rsidP="008E755D">
            <w:pPr>
              <w:spacing w:line="560" w:lineRule="exact"/>
              <w:ind w:firstLineChars="200" w:firstLine="420"/>
              <w:jc w:val="left"/>
              <w:rPr>
                <w:rStyle w:val="NormalCharacter"/>
                <w:color w:val="121212"/>
                <w:sz w:val="20"/>
                <w:szCs w:val="20"/>
                <w:lang w:eastAsia="zh-CN"/>
              </w:rPr>
            </w:pPr>
            <w:r>
              <w:rPr>
                <w:rFonts w:hint="eastAsia"/>
                <w:lang w:eastAsia="zh-CN"/>
              </w:rPr>
              <w:t>具备后备电源，可断电工作</w:t>
            </w:r>
            <w:r>
              <w:rPr>
                <w:rFonts w:hint="eastAsia"/>
                <w:lang w:eastAsia="zh-CN"/>
              </w:rPr>
              <w:t>15</w:t>
            </w:r>
            <w:r>
              <w:rPr>
                <w:rFonts w:hint="eastAsia"/>
                <w:lang w:eastAsia="zh-CN"/>
              </w:rPr>
              <w:t>分钟</w:t>
            </w:r>
          </w:p>
        </w:tc>
      </w:tr>
      <w:tr w:rsidR="008E755D" w14:paraId="662C940C" w14:textId="77777777" w:rsidTr="00493B38">
        <w:trPr>
          <w:trHeight w:val="382"/>
        </w:trPr>
        <w:tc>
          <w:tcPr>
            <w:tcW w:w="1799" w:type="dxa"/>
            <w:vAlign w:val="center"/>
          </w:tcPr>
          <w:p w14:paraId="6E1160BA" w14:textId="3B0BD19B" w:rsidR="008E755D" w:rsidRDefault="00816406" w:rsidP="008E755D">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12</w:t>
            </w:r>
          </w:p>
        </w:tc>
        <w:tc>
          <w:tcPr>
            <w:tcW w:w="8830" w:type="dxa"/>
          </w:tcPr>
          <w:p w14:paraId="2BB8A8B3" w14:textId="1E40E2EF" w:rsidR="008E755D" w:rsidRDefault="00E40EAC" w:rsidP="008E755D">
            <w:pPr>
              <w:spacing w:line="560" w:lineRule="exact"/>
              <w:ind w:firstLineChars="200" w:firstLine="420"/>
              <w:jc w:val="left"/>
              <w:rPr>
                <w:rStyle w:val="NormalCharacter"/>
                <w:color w:val="121212"/>
                <w:sz w:val="20"/>
                <w:szCs w:val="20"/>
                <w:lang w:eastAsia="zh-CN"/>
              </w:rPr>
            </w:pPr>
            <w:r w:rsidRPr="00E40EAC">
              <w:rPr>
                <w:rFonts w:hint="eastAsia"/>
                <w:lang w:eastAsia="zh-CN"/>
              </w:rPr>
              <w:t>具备安全报警声、光指示</w:t>
            </w:r>
            <w:r w:rsidR="00FF7CDC">
              <w:rPr>
                <w:rFonts w:hint="eastAsia"/>
                <w:lang w:eastAsia="zh-CN"/>
              </w:rPr>
              <w:t>，</w:t>
            </w:r>
            <w:r w:rsidR="00F35510">
              <w:rPr>
                <w:rFonts w:hint="eastAsia"/>
                <w:lang w:eastAsia="zh-CN"/>
              </w:rPr>
              <w:t>至少</w:t>
            </w:r>
            <w:r w:rsidR="00FF7CDC" w:rsidRPr="00F35510">
              <w:rPr>
                <w:rFonts w:hint="eastAsia"/>
                <w:lang w:eastAsia="zh-CN"/>
              </w:rPr>
              <w:t>具备气泡、漏血、液面监测功能</w:t>
            </w:r>
            <w:r w:rsidR="00FF7CDC">
              <w:rPr>
                <w:rFonts w:hint="eastAsia"/>
                <w:lang w:eastAsia="zh-CN"/>
              </w:rPr>
              <w:t>。</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5B23E666" w:rsidR="00C04896" w:rsidRPr="00BC4C7C" w:rsidRDefault="004649FA"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主机</w:t>
            </w:r>
            <w:r>
              <w:rPr>
                <w:rStyle w:val="NormalCharacter"/>
                <w:rFonts w:hint="eastAsia"/>
                <w:color w:val="121212"/>
                <w:sz w:val="20"/>
                <w:szCs w:val="20"/>
                <w:lang w:eastAsia="zh-CN"/>
              </w:rPr>
              <w:t>1</w:t>
            </w:r>
            <w:r w:rsidR="005A04F7">
              <w:rPr>
                <w:rStyle w:val="NormalCharacter"/>
                <w:rFonts w:hint="eastAsia"/>
                <w:color w:val="121212"/>
                <w:sz w:val="20"/>
                <w:szCs w:val="20"/>
                <w:lang w:eastAsia="zh-CN"/>
              </w:rPr>
              <w:t>台</w:t>
            </w:r>
            <w:r>
              <w:rPr>
                <w:rStyle w:val="NormalCharacter"/>
                <w:rFonts w:hint="eastAsia"/>
                <w:color w:val="121212"/>
                <w:sz w:val="20"/>
                <w:szCs w:val="20"/>
                <w:lang w:eastAsia="zh-CN"/>
              </w:rPr>
              <w:t>。</w:t>
            </w:r>
          </w:p>
        </w:tc>
      </w:tr>
    </w:tbl>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B72C6B" w14:paraId="03FA70B7" w14:textId="77777777" w:rsidTr="00901274">
        <w:trPr>
          <w:trHeight w:val="983"/>
          <w:jc w:val="center"/>
        </w:trPr>
        <w:tc>
          <w:tcPr>
            <w:tcW w:w="299" w:type="pct"/>
            <w:vAlign w:val="center"/>
          </w:tcPr>
          <w:p w14:paraId="75E73179"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399" w:type="pct"/>
            <w:vAlign w:val="center"/>
          </w:tcPr>
          <w:p w14:paraId="4161E592"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21" w:type="pct"/>
            <w:vAlign w:val="center"/>
          </w:tcPr>
          <w:p w14:paraId="63B0DA31"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364" w:type="pct"/>
            <w:vAlign w:val="center"/>
          </w:tcPr>
          <w:p w14:paraId="12AF86EF"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03" w:type="pct"/>
            <w:vAlign w:val="center"/>
          </w:tcPr>
          <w:p w14:paraId="72D83F56"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17" w:type="pct"/>
            <w:vAlign w:val="center"/>
          </w:tcPr>
          <w:p w14:paraId="6D02AF24"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574" w:type="pct"/>
            <w:vAlign w:val="center"/>
          </w:tcPr>
          <w:p w14:paraId="1B05DD4F"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设备</w:t>
            </w:r>
            <w:r>
              <w:rPr>
                <w:rFonts w:ascii="仿宋" w:eastAsia="仿宋" w:hAnsi="仿宋" w:hint="eastAsia"/>
                <w:sz w:val="28"/>
                <w:szCs w:val="28"/>
                <w:lang w:eastAsia="zh-CN"/>
              </w:rPr>
              <w:t>单</w:t>
            </w:r>
            <w:r w:rsidRPr="002F0D48">
              <w:rPr>
                <w:rFonts w:ascii="仿宋" w:eastAsia="仿宋" w:hAnsi="仿宋" w:hint="eastAsia"/>
                <w:sz w:val="28"/>
                <w:szCs w:val="28"/>
              </w:rPr>
              <w:t>价</w:t>
            </w:r>
          </w:p>
        </w:tc>
        <w:tc>
          <w:tcPr>
            <w:tcW w:w="535" w:type="pct"/>
            <w:vAlign w:val="center"/>
          </w:tcPr>
          <w:p w14:paraId="4B07E276" w14:textId="77777777" w:rsidR="00B72C6B" w:rsidRPr="002F0D48" w:rsidRDefault="00B72C6B" w:rsidP="00901274">
            <w:pPr>
              <w:jc w:val="center"/>
              <w:rPr>
                <w:rFonts w:ascii="仿宋" w:eastAsia="仿宋" w:hAnsi="仿宋" w:hint="eastAsia"/>
                <w:sz w:val="28"/>
                <w:szCs w:val="28"/>
              </w:rPr>
            </w:pPr>
            <w:r>
              <w:rPr>
                <w:rFonts w:ascii="仿宋" w:eastAsia="仿宋" w:hAnsi="仿宋" w:hint="eastAsia"/>
                <w:sz w:val="28"/>
                <w:szCs w:val="28"/>
                <w:lang w:eastAsia="zh-CN"/>
              </w:rPr>
              <w:t>设备总价</w:t>
            </w:r>
          </w:p>
        </w:tc>
        <w:tc>
          <w:tcPr>
            <w:tcW w:w="535" w:type="pct"/>
            <w:vAlign w:val="center"/>
          </w:tcPr>
          <w:p w14:paraId="08879CA4"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577" w:type="pct"/>
          </w:tcPr>
          <w:p w14:paraId="5590F5E6" w14:textId="77777777" w:rsidR="00B72C6B" w:rsidRPr="002F0D48" w:rsidRDefault="00B72C6B" w:rsidP="00901274">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35366CD8" w14:textId="77777777" w:rsidR="00B72C6B" w:rsidRPr="002F0D48" w:rsidRDefault="00B72C6B" w:rsidP="00901274">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B72C6B" w14:paraId="13F14706" w14:textId="77777777" w:rsidTr="00901274">
        <w:trPr>
          <w:trHeight w:val="723"/>
          <w:jc w:val="center"/>
        </w:trPr>
        <w:tc>
          <w:tcPr>
            <w:tcW w:w="299" w:type="pct"/>
            <w:vAlign w:val="center"/>
          </w:tcPr>
          <w:p w14:paraId="39C2D294" w14:textId="77777777" w:rsidR="00B72C6B" w:rsidRPr="002F0D48" w:rsidRDefault="00B72C6B" w:rsidP="00901274">
            <w:pPr>
              <w:jc w:val="center"/>
              <w:rPr>
                <w:rFonts w:ascii="仿宋" w:eastAsia="仿宋" w:hAnsi="仿宋" w:hint="eastAsia"/>
                <w:sz w:val="28"/>
                <w:szCs w:val="28"/>
              </w:rPr>
            </w:pPr>
          </w:p>
        </w:tc>
        <w:tc>
          <w:tcPr>
            <w:tcW w:w="399" w:type="pct"/>
            <w:vAlign w:val="center"/>
          </w:tcPr>
          <w:p w14:paraId="02155727" w14:textId="77777777" w:rsidR="00B72C6B" w:rsidRPr="002F0D48" w:rsidRDefault="00B72C6B" w:rsidP="00901274">
            <w:pPr>
              <w:jc w:val="center"/>
              <w:rPr>
                <w:rFonts w:ascii="仿宋" w:eastAsia="仿宋" w:hAnsi="仿宋" w:hint="eastAsia"/>
                <w:sz w:val="28"/>
                <w:szCs w:val="28"/>
              </w:rPr>
            </w:pPr>
          </w:p>
        </w:tc>
        <w:tc>
          <w:tcPr>
            <w:tcW w:w="321" w:type="pct"/>
            <w:vAlign w:val="center"/>
          </w:tcPr>
          <w:p w14:paraId="07BD2F6A" w14:textId="77777777" w:rsidR="00B72C6B" w:rsidRPr="002F0D48" w:rsidRDefault="00B72C6B" w:rsidP="00901274">
            <w:pPr>
              <w:jc w:val="center"/>
              <w:rPr>
                <w:rFonts w:ascii="仿宋" w:eastAsia="仿宋" w:hAnsi="仿宋" w:hint="eastAsia"/>
                <w:sz w:val="28"/>
                <w:szCs w:val="28"/>
              </w:rPr>
            </w:pPr>
          </w:p>
        </w:tc>
        <w:tc>
          <w:tcPr>
            <w:tcW w:w="364" w:type="pct"/>
            <w:vAlign w:val="center"/>
          </w:tcPr>
          <w:p w14:paraId="7FD0AA7B" w14:textId="77777777" w:rsidR="00B72C6B" w:rsidRPr="002F0D48" w:rsidRDefault="00B72C6B" w:rsidP="00901274">
            <w:pPr>
              <w:jc w:val="center"/>
              <w:rPr>
                <w:rFonts w:ascii="仿宋" w:eastAsia="仿宋" w:hAnsi="仿宋" w:hint="eastAsia"/>
                <w:sz w:val="28"/>
                <w:szCs w:val="28"/>
              </w:rPr>
            </w:pPr>
          </w:p>
        </w:tc>
        <w:tc>
          <w:tcPr>
            <w:tcW w:w="303" w:type="pct"/>
            <w:vAlign w:val="center"/>
          </w:tcPr>
          <w:p w14:paraId="032931A1" w14:textId="77777777" w:rsidR="00B72C6B" w:rsidRPr="002F0D48" w:rsidRDefault="00B72C6B" w:rsidP="00901274">
            <w:pPr>
              <w:jc w:val="center"/>
              <w:rPr>
                <w:rFonts w:ascii="仿宋" w:eastAsia="仿宋" w:hAnsi="仿宋" w:hint="eastAsia"/>
                <w:sz w:val="28"/>
                <w:szCs w:val="28"/>
              </w:rPr>
            </w:pPr>
          </w:p>
        </w:tc>
        <w:tc>
          <w:tcPr>
            <w:tcW w:w="517" w:type="pct"/>
            <w:vAlign w:val="center"/>
          </w:tcPr>
          <w:p w14:paraId="5E61A8E8" w14:textId="77777777" w:rsidR="00B72C6B" w:rsidRPr="002F0D48" w:rsidRDefault="00B72C6B" w:rsidP="00901274">
            <w:pPr>
              <w:jc w:val="center"/>
              <w:rPr>
                <w:rFonts w:ascii="仿宋" w:eastAsia="仿宋" w:hAnsi="仿宋" w:hint="eastAsia"/>
                <w:sz w:val="28"/>
                <w:szCs w:val="28"/>
              </w:rPr>
            </w:pPr>
          </w:p>
        </w:tc>
        <w:tc>
          <w:tcPr>
            <w:tcW w:w="574" w:type="pct"/>
            <w:vAlign w:val="center"/>
          </w:tcPr>
          <w:p w14:paraId="6399A7B2" w14:textId="77777777" w:rsidR="00B72C6B" w:rsidRPr="002F0D48" w:rsidRDefault="00B72C6B" w:rsidP="00901274">
            <w:pPr>
              <w:jc w:val="center"/>
              <w:rPr>
                <w:rFonts w:ascii="仿宋" w:eastAsia="仿宋" w:hAnsi="仿宋" w:hint="eastAsia"/>
                <w:sz w:val="28"/>
                <w:szCs w:val="28"/>
              </w:rPr>
            </w:pPr>
          </w:p>
        </w:tc>
        <w:tc>
          <w:tcPr>
            <w:tcW w:w="535" w:type="pct"/>
          </w:tcPr>
          <w:p w14:paraId="18C33939" w14:textId="77777777" w:rsidR="00B72C6B" w:rsidRPr="002F0D48" w:rsidRDefault="00B72C6B" w:rsidP="00901274">
            <w:pPr>
              <w:jc w:val="center"/>
              <w:rPr>
                <w:rFonts w:ascii="仿宋" w:eastAsia="仿宋" w:hAnsi="仿宋" w:hint="eastAsia"/>
                <w:sz w:val="28"/>
                <w:szCs w:val="28"/>
              </w:rPr>
            </w:pPr>
          </w:p>
        </w:tc>
        <w:tc>
          <w:tcPr>
            <w:tcW w:w="535" w:type="pct"/>
            <w:vAlign w:val="center"/>
          </w:tcPr>
          <w:p w14:paraId="14770638" w14:textId="77777777" w:rsidR="00B72C6B" w:rsidRPr="002F0D48" w:rsidRDefault="00B72C6B" w:rsidP="00901274">
            <w:pPr>
              <w:jc w:val="center"/>
              <w:rPr>
                <w:rFonts w:ascii="仿宋" w:eastAsia="仿宋" w:hAnsi="仿宋" w:hint="eastAsia"/>
                <w:sz w:val="28"/>
                <w:szCs w:val="28"/>
              </w:rPr>
            </w:pPr>
          </w:p>
        </w:tc>
        <w:tc>
          <w:tcPr>
            <w:tcW w:w="577" w:type="pct"/>
          </w:tcPr>
          <w:p w14:paraId="353642E6" w14:textId="77777777" w:rsidR="00B72C6B" w:rsidRPr="002F0D48" w:rsidRDefault="00B72C6B" w:rsidP="00901274">
            <w:pPr>
              <w:jc w:val="center"/>
              <w:rPr>
                <w:rFonts w:ascii="仿宋" w:eastAsia="仿宋" w:hAnsi="仿宋" w:hint="eastAsia"/>
                <w:sz w:val="28"/>
                <w:szCs w:val="28"/>
              </w:rPr>
            </w:pPr>
          </w:p>
        </w:tc>
        <w:tc>
          <w:tcPr>
            <w:tcW w:w="576" w:type="pct"/>
            <w:vAlign w:val="center"/>
          </w:tcPr>
          <w:p w14:paraId="7DB14000" w14:textId="77777777" w:rsidR="00B72C6B" w:rsidRPr="002F0D48" w:rsidRDefault="00B72C6B" w:rsidP="00901274">
            <w:pPr>
              <w:jc w:val="center"/>
              <w:rPr>
                <w:rFonts w:ascii="仿宋" w:eastAsia="仿宋" w:hAnsi="仿宋" w:hint="eastAsia"/>
                <w:sz w:val="28"/>
                <w:szCs w:val="28"/>
              </w:rPr>
            </w:pPr>
          </w:p>
        </w:tc>
      </w:tr>
    </w:tbl>
    <w:p w14:paraId="6D6FD264" w14:textId="77777777" w:rsidR="00B72C6B" w:rsidRDefault="00B72C6B" w:rsidP="00F148F4">
      <w:pPr>
        <w:spacing w:line="560" w:lineRule="exact"/>
        <w:ind w:right="1280"/>
        <w:rPr>
          <w:rFonts w:ascii="仿宋" w:eastAsia="仿宋" w:hAnsi="仿宋" w:hint="eastAsia"/>
          <w:sz w:val="32"/>
          <w:szCs w:val="32"/>
        </w:rPr>
      </w:pPr>
    </w:p>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E41FC" w14:textId="77777777" w:rsidR="00000C48" w:rsidRDefault="00000C48" w:rsidP="00A86C02">
      <w:pPr>
        <w:rPr>
          <w:rFonts w:hint="eastAsia"/>
        </w:rPr>
      </w:pPr>
      <w:r>
        <w:separator/>
      </w:r>
    </w:p>
  </w:endnote>
  <w:endnote w:type="continuationSeparator" w:id="0">
    <w:p w14:paraId="2D1E4166" w14:textId="77777777" w:rsidR="00000C48" w:rsidRDefault="00000C48"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BF94B" w14:textId="77777777" w:rsidR="00000C48" w:rsidRDefault="00000C48" w:rsidP="00A86C02">
      <w:pPr>
        <w:rPr>
          <w:rFonts w:hint="eastAsia"/>
        </w:rPr>
      </w:pPr>
      <w:r>
        <w:separator/>
      </w:r>
    </w:p>
  </w:footnote>
  <w:footnote w:type="continuationSeparator" w:id="0">
    <w:p w14:paraId="62D5E91C" w14:textId="77777777" w:rsidR="00000C48" w:rsidRDefault="00000C48"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0C48"/>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42BD"/>
    <w:rsid w:val="0006781A"/>
    <w:rsid w:val="000747AB"/>
    <w:rsid w:val="00091E05"/>
    <w:rsid w:val="000A098D"/>
    <w:rsid w:val="000A2F6F"/>
    <w:rsid w:val="000A7B17"/>
    <w:rsid w:val="000C7D56"/>
    <w:rsid w:val="000D3829"/>
    <w:rsid w:val="000D7C5A"/>
    <w:rsid w:val="000E6F71"/>
    <w:rsid w:val="000F43B8"/>
    <w:rsid w:val="001048B6"/>
    <w:rsid w:val="0010666E"/>
    <w:rsid w:val="00116E78"/>
    <w:rsid w:val="00117A8B"/>
    <w:rsid w:val="00134853"/>
    <w:rsid w:val="00165E13"/>
    <w:rsid w:val="00165F3B"/>
    <w:rsid w:val="0017074B"/>
    <w:rsid w:val="00183E6B"/>
    <w:rsid w:val="00186B5A"/>
    <w:rsid w:val="00190D7F"/>
    <w:rsid w:val="00194700"/>
    <w:rsid w:val="00197D7A"/>
    <w:rsid w:val="001A7D70"/>
    <w:rsid w:val="001B10B3"/>
    <w:rsid w:val="001B4098"/>
    <w:rsid w:val="001B4135"/>
    <w:rsid w:val="001B474D"/>
    <w:rsid w:val="001D1DCD"/>
    <w:rsid w:val="001D64C5"/>
    <w:rsid w:val="001E39AD"/>
    <w:rsid w:val="001E61E5"/>
    <w:rsid w:val="001F225C"/>
    <w:rsid w:val="001F2868"/>
    <w:rsid w:val="001F4507"/>
    <w:rsid w:val="00220DBB"/>
    <w:rsid w:val="0023129E"/>
    <w:rsid w:val="00237808"/>
    <w:rsid w:val="00240806"/>
    <w:rsid w:val="00240E25"/>
    <w:rsid w:val="00245362"/>
    <w:rsid w:val="00247405"/>
    <w:rsid w:val="00255841"/>
    <w:rsid w:val="00257BB9"/>
    <w:rsid w:val="00266BB8"/>
    <w:rsid w:val="00272F05"/>
    <w:rsid w:val="00272F67"/>
    <w:rsid w:val="00273601"/>
    <w:rsid w:val="002737BE"/>
    <w:rsid w:val="00280A32"/>
    <w:rsid w:val="00287F82"/>
    <w:rsid w:val="00293113"/>
    <w:rsid w:val="002A3D61"/>
    <w:rsid w:val="002A53A4"/>
    <w:rsid w:val="002A6827"/>
    <w:rsid w:val="002A7191"/>
    <w:rsid w:val="002B5FCD"/>
    <w:rsid w:val="002C40FD"/>
    <w:rsid w:val="002C5606"/>
    <w:rsid w:val="002D6544"/>
    <w:rsid w:val="002E1B5A"/>
    <w:rsid w:val="002E682C"/>
    <w:rsid w:val="002E7100"/>
    <w:rsid w:val="002F0D48"/>
    <w:rsid w:val="002F7470"/>
    <w:rsid w:val="00302E25"/>
    <w:rsid w:val="0031691E"/>
    <w:rsid w:val="00333B33"/>
    <w:rsid w:val="00336133"/>
    <w:rsid w:val="003367B6"/>
    <w:rsid w:val="00336F07"/>
    <w:rsid w:val="00342985"/>
    <w:rsid w:val="00344321"/>
    <w:rsid w:val="00345C29"/>
    <w:rsid w:val="0035573C"/>
    <w:rsid w:val="00357C50"/>
    <w:rsid w:val="003702C8"/>
    <w:rsid w:val="00370891"/>
    <w:rsid w:val="00373A51"/>
    <w:rsid w:val="00385260"/>
    <w:rsid w:val="003864E3"/>
    <w:rsid w:val="00387D63"/>
    <w:rsid w:val="00390B1F"/>
    <w:rsid w:val="00392874"/>
    <w:rsid w:val="00395551"/>
    <w:rsid w:val="003A2C0A"/>
    <w:rsid w:val="003A2E04"/>
    <w:rsid w:val="003B16A0"/>
    <w:rsid w:val="003B57F7"/>
    <w:rsid w:val="003C2125"/>
    <w:rsid w:val="003C2AEE"/>
    <w:rsid w:val="003C3F9C"/>
    <w:rsid w:val="003C4763"/>
    <w:rsid w:val="003C4A5C"/>
    <w:rsid w:val="003D02FC"/>
    <w:rsid w:val="003D4943"/>
    <w:rsid w:val="003D77EB"/>
    <w:rsid w:val="003E3789"/>
    <w:rsid w:val="00401022"/>
    <w:rsid w:val="004067DA"/>
    <w:rsid w:val="00411038"/>
    <w:rsid w:val="00416E20"/>
    <w:rsid w:val="00424073"/>
    <w:rsid w:val="004261DA"/>
    <w:rsid w:val="00431CF7"/>
    <w:rsid w:val="00440C47"/>
    <w:rsid w:val="0044618B"/>
    <w:rsid w:val="00452C98"/>
    <w:rsid w:val="00460027"/>
    <w:rsid w:val="004649FA"/>
    <w:rsid w:val="00470711"/>
    <w:rsid w:val="004726B1"/>
    <w:rsid w:val="00472BDD"/>
    <w:rsid w:val="00475B7C"/>
    <w:rsid w:val="004773D1"/>
    <w:rsid w:val="0048356E"/>
    <w:rsid w:val="004861DD"/>
    <w:rsid w:val="004917FE"/>
    <w:rsid w:val="004960F6"/>
    <w:rsid w:val="00497C39"/>
    <w:rsid w:val="004A052E"/>
    <w:rsid w:val="004A2314"/>
    <w:rsid w:val="004A246E"/>
    <w:rsid w:val="004A2B7A"/>
    <w:rsid w:val="004A353E"/>
    <w:rsid w:val="004A7636"/>
    <w:rsid w:val="004B2F52"/>
    <w:rsid w:val="004B5664"/>
    <w:rsid w:val="004B6385"/>
    <w:rsid w:val="004C209E"/>
    <w:rsid w:val="004C3ACE"/>
    <w:rsid w:val="004C6AA9"/>
    <w:rsid w:val="004C7594"/>
    <w:rsid w:val="004D07B2"/>
    <w:rsid w:val="004D432D"/>
    <w:rsid w:val="004D4D1D"/>
    <w:rsid w:val="004D588A"/>
    <w:rsid w:val="004E04C2"/>
    <w:rsid w:val="004F0B4D"/>
    <w:rsid w:val="004F4436"/>
    <w:rsid w:val="00505256"/>
    <w:rsid w:val="0050593E"/>
    <w:rsid w:val="00507063"/>
    <w:rsid w:val="0050793D"/>
    <w:rsid w:val="00512DBC"/>
    <w:rsid w:val="00527107"/>
    <w:rsid w:val="00535388"/>
    <w:rsid w:val="0054490B"/>
    <w:rsid w:val="0054747D"/>
    <w:rsid w:val="005576EA"/>
    <w:rsid w:val="00563226"/>
    <w:rsid w:val="00565A20"/>
    <w:rsid w:val="0057627C"/>
    <w:rsid w:val="005806FC"/>
    <w:rsid w:val="00582051"/>
    <w:rsid w:val="005A04F7"/>
    <w:rsid w:val="005B0068"/>
    <w:rsid w:val="005B5D3A"/>
    <w:rsid w:val="005C31BD"/>
    <w:rsid w:val="005D0D0C"/>
    <w:rsid w:val="005D5B48"/>
    <w:rsid w:val="005D75CF"/>
    <w:rsid w:val="005D7CC0"/>
    <w:rsid w:val="005E0957"/>
    <w:rsid w:val="005E1025"/>
    <w:rsid w:val="005E2CF3"/>
    <w:rsid w:val="005E52FD"/>
    <w:rsid w:val="005E70B7"/>
    <w:rsid w:val="005F0BBF"/>
    <w:rsid w:val="00600985"/>
    <w:rsid w:val="006024F0"/>
    <w:rsid w:val="00604904"/>
    <w:rsid w:val="0060533D"/>
    <w:rsid w:val="006056D7"/>
    <w:rsid w:val="006148E6"/>
    <w:rsid w:val="00625418"/>
    <w:rsid w:val="006303B2"/>
    <w:rsid w:val="00630933"/>
    <w:rsid w:val="00633311"/>
    <w:rsid w:val="00633676"/>
    <w:rsid w:val="00646E4F"/>
    <w:rsid w:val="00650E96"/>
    <w:rsid w:val="006603A8"/>
    <w:rsid w:val="00660CBE"/>
    <w:rsid w:val="0066533F"/>
    <w:rsid w:val="00667744"/>
    <w:rsid w:val="00671143"/>
    <w:rsid w:val="00671B1B"/>
    <w:rsid w:val="00674771"/>
    <w:rsid w:val="00676A67"/>
    <w:rsid w:val="006822FB"/>
    <w:rsid w:val="0068255D"/>
    <w:rsid w:val="00684D2F"/>
    <w:rsid w:val="006852F5"/>
    <w:rsid w:val="0069759B"/>
    <w:rsid w:val="006A35F3"/>
    <w:rsid w:val="006A76E8"/>
    <w:rsid w:val="006B4001"/>
    <w:rsid w:val="006B500B"/>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67DC"/>
    <w:rsid w:val="00737EF1"/>
    <w:rsid w:val="007451D5"/>
    <w:rsid w:val="0074633E"/>
    <w:rsid w:val="007475A5"/>
    <w:rsid w:val="007479DE"/>
    <w:rsid w:val="007502BE"/>
    <w:rsid w:val="00751672"/>
    <w:rsid w:val="007567F7"/>
    <w:rsid w:val="0076294C"/>
    <w:rsid w:val="0076552F"/>
    <w:rsid w:val="00770386"/>
    <w:rsid w:val="00773EBB"/>
    <w:rsid w:val="007773C4"/>
    <w:rsid w:val="007800EC"/>
    <w:rsid w:val="007960B7"/>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E52"/>
    <w:rsid w:val="007E20A5"/>
    <w:rsid w:val="007F05B4"/>
    <w:rsid w:val="007F449D"/>
    <w:rsid w:val="007F4BD9"/>
    <w:rsid w:val="007F6144"/>
    <w:rsid w:val="007F6FEB"/>
    <w:rsid w:val="008064F0"/>
    <w:rsid w:val="008135B6"/>
    <w:rsid w:val="00816406"/>
    <w:rsid w:val="00824C8F"/>
    <w:rsid w:val="00824CEB"/>
    <w:rsid w:val="00830867"/>
    <w:rsid w:val="008363F3"/>
    <w:rsid w:val="0084566E"/>
    <w:rsid w:val="00855F94"/>
    <w:rsid w:val="0085615B"/>
    <w:rsid w:val="00870922"/>
    <w:rsid w:val="00870C70"/>
    <w:rsid w:val="008747BE"/>
    <w:rsid w:val="008810C0"/>
    <w:rsid w:val="00883D3F"/>
    <w:rsid w:val="008854EC"/>
    <w:rsid w:val="008861B3"/>
    <w:rsid w:val="00891DE1"/>
    <w:rsid w:val="00896AAC"/>
    <w:rsid w:val="008A28F1"/>
    <w:rsid w:val="008A363E"/>
    <w:rsid w:val="008A3FC3"/>
    <w:rsid w:val="008A7611"/>
    <w:rsid w:val="008B31BC"/>
    <w:rsid w:val="008B3252"/>
    <w:rsid w:val="008B6121"/>
    <w:rsid w:val="008B620E"/>
    <w:rsid w:val="008B665E"/>
    <w:rsid w:val="008C3718"/>
    <w:rsid w:val="008D3E73"/>
    <w:rsid w:val="008D5BEB"/>
    <w:rsid w:val="008D5E69"/>
    <w:rsid w:val="008E1F23"/>
    <w:rsid w:val="008E5FA5"/>
    <w:rsid w:val="008E755D"/>
    <w:rsid w:val="008F1DDC"/>
    <w:rsid w:val="008F4440"/>
    <w:rsid w:val="00904DC6"/>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4F30"/>
    <w:rsid w:val="009D5087"/>
    <w:rsid w:val="009E08CC"/>
    <w:rsid w:val="009E694A"/>
    <w:rsid w:val="00A04D10"/>
    <w:rsid w:val="00A27C59"/>
    <w:rsid w:val="00A30F51"/>
    <w:rsid w:val="00A345CC"/>
    <w:rsid w:val="00A550F4"/>
    <w:rsid w:val="00A61AA0"/>
    <w:rsid w:val="00A64E3E"/>
    <w:rsid w:val="00A709AB"/>
    <w:rsid w:val="00A717F2"/>
    <w:rsid w:val="00A74A0D"/>
    <w:rsid w:val="00A75A66"/>
    <w:rsid w:val="00A82A38"/>
    <w:rsid w:val="00A82AB4"/>
    <w:rsid w:val="00A86528"/>
    <w:rsid w:val="00A86C02"/>
    <w:rsid w:val="00A90FC9"/>
    <w:rsid w:val="00A91577"/>
    <w:rsid w:val="00A94366"/>
    <w:rsid w:val="00AA1C4C"/>
    <w:rsid w:val="00AB293D"/>
    <w:rsid w:val="00AB7407"/>
    <w:rsid w:val="00AC252C"/>
    <w:rsid w:val="00AC4185"/>
    <w:rsid w:val="00AC49A4"/>
    <w:rsid w:val="00AD04FB"/>
    <w:rsid w:val="00AD1E21"/>
    <w:rsid w:val="00AD21F4"/>
    <w:rsid w:val="00AD2479"/>
    <w:rsid w:val="00AD4A12"/>
    <w:rsid w:val="00AD5CA7"/>
    <w:rsid w:val="00AD60A5"/>
    <w:rsid w:val="00AD64F6"/>
    <w:rsid w:val="00AE33A9"/>
    <w:rsid w:val="00AE5CE3"/>
    <w:rsid w:val="00AF0538"/>
    <w:rsid w:val="00AF739E"/>
    <w:rsid w:val="00B11A12"/>
    <w:rsid w:val="00B1290E"/>
    <w:rsid w:val="00B12FF9"/>
    <w:rsid w:val="00B144F0"/>
    <w:rsid w:val="00B26104"/>
    <w:rsid w:val="00B30196"/>
    <w:rsid w:val="00B325EA"/>
    <w:rsid w:val="00B339A5"/>
    <w:rsid w:val="00B36417"/>
    <w:rsid w:val="00B43698"/>
    <w:rsid w:val="00B4408A"/>
    <w:rsid w:val="00B50839"/>
    <w:rsid w:val="00B50DBA"/>
    <w:rsid w:val="00B52895"/>
    <w:rsid w:val="00B7121E"/>
    <w:rsid w:val="00B72C6B"/>
    <w:rsid w:val="00B74C0D"/>
    <w:rsid w:val="00B839D4"/>
    <w:rsid w:val="00BB57A8"/>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291E"/>
    <w:rsid w:val="00C367B7"/>
    <w:rsid w:val="00C36DC4"/>
    <w:rsid w:val="00C40905"/>
    <w:rsid w:val="00C43D35"/>
    <w:rsid w:val="00C44380"/>
    <w:rsid w:val="00C5066B"/>
    <w:rsid w:val="00C539C4"/>
    <w:rsid w:val="00C61793"/>
    <w:rsid w:val="00C6181B"/>
    <w:rsid w:val="00C71E15"/>
    <w:rsid w:val="00C76BF3"/>
    <w:rsid w:val="00C84432"/>
    <w:rsid w:val="00C9018A"/>
    <w:rsid w:val="00C91929"/>
    <w:rsid w:val="00CA0571"/>
    <w:rsid w:val="00CA20C6"/>
    <w:rsid w:val="00CA59ED"/>
    <w:rsid w:val="00CB10A4"/>
    <w:rsid w:val="00CB4CB0"/>
    <w:rsid w:val="00CB4CFF"/>
    <w:rsid w:val="00CC1D61"/>
    <w:rsid w:val="00CD1909"/>
    <w:rsid w:val="00CF1C13"/>
    <w:rsid w:val="00D01F51"/>
    <w:rsid w:val="00D108BA"/>
    <w:rsid w:val="00D12344"/>
    <w:rsid w:val="00D32380"/>
    <w:rsid w:val="00D37AC6"/>
    <w:rsid w:val="00D53806"/>
    <w:rsid w:val="00D53E7F"/>
    <w:rsid w:val="00D5631B"/>
    <w:rsid w:val="00D603DA"/>
    <w:rsid w:val="00D60EA4"/>
    <w:rsid w:val="00D621DD"/>
    <w:rsid w:val="00D62F6A"/>
    <w:rsid w:val="00D65CEA"/>
    <w:rsid w:val="00D77D04"/>
    <w:rsid w:val="00D91B20"/>
    <w:rsid w:val="00D95113"/>
    <w:rsid w:val="00D9607A"/>
    <w:rsid w:val="00DA1407"/>
    <w:rsid w:val="00DA40BD"/>
    <w:rsid w:val="00DA5050"/>
    <w:rsid w:val="00DA76C4"/>
    <w:rsid w:val="00DB5FEA"/>
    <w:rsid w:val="00DC413E"/>
    <w:rsid w:val="00DD16A8"/>
    <w:rsid w:val="00DD1AC7"/>
    <w:rsid w:val="00DD2930"/>
    <w:rsid w:val="00DD41FD"/>
    <w:rsid w:val="00DD499F"/>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40123"/>
    <w:rsid w:val="00E40EAC"/>
    <w:rsid w:val="00E42670"/>
    <w:rsid w:val="00E43FAA"/>
    <w:rsid w:val="00E44DEF"/>
    <w:rsid w:val="00E50F84"/>
    <w:rsid w:val="00E5206C"/>
    <w:rsid w:val="00E556D7"/>
    <w:rsid w:val="00E569F2"/>
    <w:rsid w:val="00E63314"/>
    <w:rsid w:val="00E63AA7"/>
    <w:rsid w:val="00E66520"/>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047A0"/>
    <w:rsid w:val="00F05696"/>
    <w:rsid w:val="00F148F4"/>
    <w:rsid w:val="00F175A8"/>
    <w:rsid w:val="00F238FA"/>
    <w:rsid w:val="00F276FD"/>
    <w:rsid w:val="00F30E0C"/>
    <w:rsid w:val="00F30F0E"/>
    <w:rsid w:val="00F35510"/>
    <w:rsid w:val="00F37846"/>
    <w:rsid w:val="00F37FDE"/>
    <w:rsid w:val="00F429E6"/>
    <w:rsid w:val="00F42A4D"/>
    <w:rsid w:val="00F43E6B"/>
    <w:rsid w:val="00F43F52"/>
    <w:rsid w:val="00F55C94"/>
    <w:rsid w:val="00F56772"/>
    <w:rsid w:val="00F57CA0"/>
    <w:rsid w:val="00F6117A"/>
    <w:rsid w:val="00F63012"/>
    <w:rsid w:val="00F64974"/>
    <w:rsid w:val="00F65509"/>
    <w:rsid w:val="00F70823"/>
    <w:rsid w:val="00F71464"/>
    <w:rsid w:val="00F73D37"/>
    <w:rsid w:val="00F748C9"/>
    <w:rsid w:val="00F829CA"/>
    <w:rsid w:val="00F82C00"/>
    <w:rsid w:val="00F82CDA"/>
    <w:rsid w:val="00F8361C"/>
    <w:rsid w:val="00F838CC"/>
    <w:rsid w:val="00F86332"/>
    <w:rsid w:val="00F87E13"/>
    <w:rsid w:val="00F938BF"/>
    <w:rsid w:val="00F959C0"/>
    <w:rsid w:val="00FA75D2"/>
    <w:rsid w:val="00FB03D3"/>
    <w:rsid w:val="00FB3E14"/>
    <w:rsid w:val="00FC26E9"/>
    <w:rsid w:val="00FC5770"/>
    <w:rsid w:val="00FD056A"/>
    <w:rsid w:val="00FD74AD"/>
    <w:rsid w:val="00FE6386"/>
    <w:rsid w:val="00FE7572"/>
    <w:rsid w:val="00FE79BB"/>
    <w:rsid w:val="00FE7DDF"/>
    <w:rsid w:val="00FF27FC"/>
    <w:rsid w:val="00FF2D22"/>
    <w:rsid w:val="00FF7CDC"/>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9</cp:revision>
  <cp:lastPrinted>2024-06-07T03:06:00Z</cp:lastPrinted>
  <dcterms:created xsi:type="dcterms:W3CDTF">2024-10-18T01:13:00Z</dcterms:created>
  <dcterms:modified xsi:type="dcterms:W3CDTF">2024-11-18T06:40:00Z</dcterms:modified>
</cp:coreProperties>
</file>